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1" w:lineRule="auto"/>
        <w:ind w:left="2294" w:right="1195" w:hanging="1103"/>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Implementierungsplan für die 21ste China International Talent Exchange Conference Online Conference</w:t>
      </w:r>
    </w:p>
    <w:bookmarkEnd w:id="0"/>
    <w:p>
      <w:pPr>
        <w:spacing w:line="387" w:lineRule="auto"/>
        <w:rPr>
          <w:rFonts w:ascii="Arial"/>
          <w:sz w:val="21"/>
        </w:rPr>
      </w:pPr>
    </w:p>
    <w:p>
      <w:pPr>
        <w:spacing w:before="101" w:line="333" w:lineRule="auto"/>
        <w:ind w:left="13" w:right="136" w:firstLine="612"/>
        <w:rPr>
          <w:rFonts w:ascii="仿宋" w:hAnsi="仿宋" w:eastAsia="仿宋" w:cs="仿宋"/>
          <w:sz w:val="31"/>
          <w:szCs w:val="31"/>
        </w:rPr>
      </w:pPr>
      <w:r>
        <w:rPr>
          <w:rFonts w:ascii="仿宋" w:hAnsi="仿宋" w:eastAsia="仿宋" w:cs="仿宋"/>
          <w:spacing w:val="-20"/>
          <w:sz w:val="31"/>
          <w:szCs w:val="31"/>
        </w:rPr>
        <w:t>Gemäß dem Gesamtarbeitsplan der 21st China International Talent Exchange Conference wird die Konferenz weiterhin regelmäßige Online-Dienste für Aussteller in Form von Online-Konferenzen anbieten.</w:t>
      </w:r>
    </w:p>
    <w:p>
      <w:pPr>
        <w:spacing w:line="513" w:lineRule="exact"/>
        <w:ind w:left="635"/>
        <w:rPr>
          <w:rFonts w:ascii="黑体" w:hAnsi="黑体" w:eastAsia="黑体" w:cs="黑体"/>
          <w:sz w:val="31"/>
          <w:szCs w:val="31"/>
        </w:rPr>
      </w:pPr>
      <w:r>
        <w:rPr>
          <w:rFonts w:ascii="黑体" w:hAnsi="黑体" w:eastAsia="黑体" w:cs="黑体"/>
          <w:spacing w:val="-1"/>
          <w:position w:val="4"/>
          <w:sz w:val="31"/>
          <w:szCs w:val="31"/>
        </w:rPr>
        <w:t>1,Zeit und Format</w:t>
      </w:r>
    </w:p>
    <w:p>
      <w:pPr>
        <w:spacing w:before="48" w:line="333" w:lineRule="auto"/>
        <w:ind w:left="14" w:right="4" w:firstLine="613"/>
        <w:rPr>
          <w:rFonts w:ascii="仿宋" w:hAnsi="仿宋" w:eastAsia="仿宋" w:cs="仿宋"/>
          <w:sz w:val="31"/>
          <w:szCs w:val="31"/>
        </w:rPr>
      </w:pPr>
      <w:r>
        <w:rPr>
          <w:rFonts w:ascii="仿宋" w:hAnsi="仿宋" w:eastAsia="仿宋" w:cs="仿宋"/>
          <w:spacing w:val="1"/>
          <w:sz w:val="31"/>
          <w:szCs w:val="31"/>
        </w:rPr>
        <w:t>Standardisierte Dienstleistungen das ganze Jahr über, unter Nutzung der offiziellen Website der Konferenz als Plattform, mit virtuellen Ausstellungshallen, Projektdocking, Online-Rekrutierung und anderen funktionalen Servicebereichen eingerichtet.</w:t>
      </w:r>
    </w:p>
    <w:p>
      <w:pPr>
        <w:spacing w:line="416" w:lineRule="exact"/>
        <w:ind w:left="635"/>
        <w:rPr>
          <w:rFonts w:ascii="黑体" w:hAnsi="黑体" w:eastAsia="黑体" w:cs="黑体"/>
          <w:sz w:val="31"/>
          <w:szCs w:val="31"/>
        </w:rPr>
      </w:pPr>
      <w:r>
        <w:rPr>
          <w:rFonts w:ascii="黑体" w:hAnsi="黑体" w:eastAsia="黑体" w:cs="黑体"/>
          <w:spacing w:val="-1"/>
          <w:position w:val="2"/>
          <w:sz w:val="31"/>
          <w:szCs w:val="31"/>
        </w:rPr>
        <w:t>2,Hauptinhalt</w:t>
      </w:r>
    </w:p>
    <w:p>
      <w:pPr>
        <w:spacing w:before="143" w:line="229" w:lineRule="auto"/>
        <w:ind w:left="655"/>
        <w:rPr>
          <w:rFonts w:ascii="楷体" w:hAnsi="楷体" w:eastAsia="楷体" w:cs="楷体"/>
          <w:sz w:val="31"/>
          <w:szCs w:val="31"/>
        </w:rPr>
      </w:pPr>
      <w:r>
        <w:rPr>
          <w:rFonts w:ascii="楷体" w:hAnsi="楷体" w:eastAsia="楷体" w:cs="楷体"/>
          <w:spacing w:val="21"/>
          <w:sz w:val="31"/>
          <w:szCs w:val="31"/>
        </w:rPr>
        <w:t>(1) Virtuelle Ausstellungshalle</w:t>
      </w:r>
    </w:p>
    <w:p>
      <w:pPr>
        <w:spacing w:before="181" w:line="333" w:lineRule="auto"/>
        <w:ind w:firstLine="640"/>
        <w:rPr>
          <w:rFonts w:ascii="楷体" w:hAnsi="楷体" w:eastAsia="楷体" w:cs="楷体"/>
          <w:sz w:val="31"/>
          <w:szCs w:val="31"/>
        </w:rPr>
      </w:pPr>
      <w:r>
        <w:rPr>
          <w:rFonts w:ascii="仿宋" w:hAnsi="仿宋" w:eastAsia="仿宋" w:cs="仿宋"/>
          <w:spacing w:val="10"/>
          <w:sz w:val="31"/>
          <w:szCs w:val="31"/>
        </w:rPr>
        <w:t>In- und ausländische Aussteller werden eingeladen, Online-Ausstellungen einzurichten, um den Fortschritt und die Errungenschaften der internationalen wissenschaftlichen und technologischen Innovationszusammenarbeit und des internationalen Austauschs von Talenten zu präsentieren, Politik, Umwelt, Ressourcen zu fördern und Wissen und Erfahrung auszutauschen. Geleitet von relevanten Abteilungen, Büros und Zentren des Ministeriums für Wissenschaft und Technologie, durchgeführt von Wissenschafts- und Technologieabteilungen (Komitees, Büros) und relevanten kooperativen Einheiten verschiedener Provinzen, Bezirke und Städte und ausgeführt vom Shenzhen International Talent Exchange Center</w:t>
      </w:r>
    </w:p>
    <w:p>
      <w:pPr>
        <w:spacing w:before="2" w:line="237" w:lineRule="auto"/>
        <w:ind w:left="655"/>
        <w:rPr>
          <w:rFonts w:ascii="楷体" w:hAnsi="楷体" w:eastAsia="楷体" w:cs="楷体"/>
          <w:sz w:val="31"/>
          <w:szCs w:val="31"/>
        </w:rPr>
      </w:pPr>
      <w:r>
        <w:rPr>
          <w:rFonts w:ascii="楷体" w:hAnsi="楷体" w:eastAsia="楷体" w:cs="楷体"/>
          <w:spacing w:val="21"/>
          <w:sz w:val="31"/>
          <w:szCs w:val="31"/>
        </w:rPr>
        <w:t>(2) Projektdocking</w:t>
      </w:r>
    </w:p>
    <w:p>
      <w:pPr>
        <w:spacing w:before="159" w:line="340" w:lineRule="auto"/>
        <w:ind w:right="2" w:firstLine="643"/>
        <w:rPr>
          <w:rFonts w:ascii="仿宋" w:hAnsi="仿宋" w:eastAsia="仿宋" w:cs="仿宋"/>
          <w:sz w:val="31"/>
          <w:szCs w:val="31"/>
        </w:rPr>
      </w:pPr>
      <w:r>
        <w:rPr>
          <w:rFonts w:ascii="仿宋" w:hAnsi="仿宋" w:eastAsia="仿宋" w:cs="仿宋"/>
          <w:spacing w:val="-2"/>
          <w:sz w:val="31"/>
          <w:szCs w:val="31"/>
        </w:rPr>
        <w:t>Die Konferenz nutzt das Overseas Talent Exchange and Negotiation System (EO System) als Plattform, um Informationen über Technologieinnovationsprojekte und Talentangebot und -nachfrage von in- und ausländischen Universitäten, Forschungseinrichtungen, Personalinstitutionen, Technologieinnovationsunternehmen sowie internationalen Expertenorganisationen und Berufsinstitutionen zentral zu veröffentlichen.</w:t>
      </w:r>
    </w:p>
    <w:p>
      <w:pPr>
        <w:sectPr>
          <w:footerReference r:id="rId5" w:type="default"/>
          <w:pgSz w:w="11906" w:h="16839"/>
          <w:pgMar w:top="400" w:right="1461" w:bottom="1876" w:left="1592" w:header="0" w:footer="171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firstLine="17"/>
        <w:rPr>
          <w:rFonts w:ascii="楷体" w:hAnsi="楷体" w:eastAsia="楷体" w:cs="楷体"/>
          <w:sz w:val="31"/>
          <w:szCs w:val="31"/>
        </w:rPr>
      </w:pPr>
      <w:r>
        <w:rPr>
          <w:rFonts w:ascii="仿宋" w:hAnsi="仿宋" w:eastAsia="仿宋" w:cs="仿宋"/>
          <w:spacing w:val="8"/>
          <w:sz w:val="31"/>
          <w:szCs w:val="31"/>
        </w:rPr>
        <w:t>Und rund um Schlüsselbereiche und Branchen der wirtschaftlichen und sozialen Entwicklung organisieren und durchführen Sie die "Zhang Jiebang"-Aktivität, kombiniert mit Online-Roadshow-Live-Streaming, Sonderzonenanzeige und anderen Servicefunktionen, um umfassende, intelligente und präzise Docking-Dienste für Angebots- und Nachfrageseite bereitzustellen. Geleitet von relevanten Abteilungen, Büros und Zentren des Ministeriums für Wissenschaft und Technologie, durchgeführt von Wissenschafts- und Technologieabteilungen (Komitees, Büros) und relevanten kooperativen Einheiten verschiedener Provinzen, Bezirke und Städte und ausgeführt vom Shenzhen International Talent Exchange Center</w:t>
      </w:r>
    </w:p>
    <w:p>
      <w:pPr>
        <w:spacing w:line="232" w:lineRule="auto"/>
        <w:ind w:left="654"/>
        <w:rPr>
          <w:rFonts w:ascii="楷体" w:hAnsi="楷体" w:eastAsia="楷体" w:cs="楷体"/>
          <w:sz w:val="31"/>
          <w:szCs w:val="31"/>
        </w:rPr>
      </w:pPr>
      <w:r>
        <w:rPr>
          <w:rFonts w:ascii="楷体" w:hAnsi="楷体" w:eastAsia="楷体" w:cs="楷体"/>
          <w:spacing w:val="21"/>
          <w:sz w:val="31"/>
          <w:szCs w:val="31"/>
        </w:rPr>
        <w:t>(3) Online-Rekrutierung</w:t>
      </w:r>
    </w:p>
    <w:p>
      <w:pPr>
        <w:spacing w:before="174" w:line="333" w:lineRule="auto"/>
        <w:ind w:right="62" w:firstLine="672"/>
        <w:rPr>
          <w:rFonts w:ascii="楷体" w:hAnsi="楷体" w:eastAsia="楷体" w:cs="楷体"/>
          <w:sz w:val="31"/>
          <w:szCs w:val="31"/>
        </w:rPr>
      </w:pPr>
      <w:r>
        <w:rPr>
          <w:rFonts w:ascii="仿宋" w:hAnsi="仿宋" w:eastAsia="仿宋" w:cs="仿宋"/>
          <w:spacing w:val="-4"/>
          <w:sz w:val="31"/>
          <w:szCs w:val="31"/>
        </w:rPr>
        <w:t>Mit der offiziellen Website der Konferenz als Plattform, schaffen Sie eine Rekrutierungszone für High-End-Talente aus dem Ausland, ausländische Berufstalente, ausländische Studenten und junge Wissenschaftler, die im Ausland in China studieren, Rückkehrer und inländische Talente. Von den zuständigen Kooperativen Einheiten übernommen]</w:t>
      </w:r>
    </w:p>
    <w:p>
      <w:pPr>
        <w:spacing w:before="1" w:line="230" w:lineRule="auto"/>
        <w:ind w:left="654"/>
        <w:rPr>
          <w:rFonts w:ascii="楷体" w:hAnsi="楷体" w:eastAsia="楷体" w:cs="楷体"/>
          <w:sz w:val="31"/>
          <w:szCs w:val="31"/>
        </w:rPr>
      </w:pPr>
      <w:r>
        <w:rPr>
          <w:rFonts w:ascii="楷体" w:hAnsi="楷体" w:eastAsia="楷体" w:cs="楷体"/>
          <w:spacing w:val="21"/>
          <w:sz w:val="31"/>
          <w:szCs w:val="31"/>
        </w:rPr>
        <w:t>(4) Online-Dienste</w:t>
      </w:r>
    </w:p>
    <w:p>
      <w:pPr>
        <w:spacing w:before="175" w:line="223" w:lineRule="auto"/>
        <w:ind w:left="637"/>
        <w:outlineLvl w:val="0"/>
        <w:rPr>
          <w:rFonts w:ascii="仿宋" w:hAnsi="仿宋" w:eastAsia="仿宋" w:cs="仿宋"/>
          <w:sz w:val="31"/>
          <w:szCs w:val="31"/>
        </w:rPr>
      </w:pPr>
      <w:r>
        <w:rPr>
          <w:rFonts w:ascii="Times New Roman" w:hAnsi="Times New Roman" w:eastAsia="Times New Roman" w:cs="Times New Roman"/>
          <w:b/>
          <w:bCs/>
          <w:spacing w:val="-1"/>
          <w:sz w:val="31"/>
          <w:szCs w:val="31"/>
        </w:rPr>
        <w:t>1. Registrieren und anmelden im System</w:t>
      </w:r>
    </w:p>
    <w:p>
      <w:pPr>
        <w:spacing w:before="186" w:line="333" w:lineRule="auto"/>
        <w:ind w:left="11" w:right="287" w:firstLine="617"/>
        <w:rPr>
          <w:rFonts w:ascii="仿宋" w:hAnsi="仿宋" w:eastAsia="仿宋" w:cs="仿宋"/>
          <w:sz w:val="31"/>
          <w:szCs w:val="31"/>
        </w:rPr>
      </w:pPr>
      <w:r>
        <w:rPr>
          <w:rFonts w:ascii="仿宋" w:hAnsi="仿宋" w:eastAsia="仿宋" w:cs="仿宋"/>
          <w:spacing w:val="1"/>
          <w:sz w:val="31"/>
          <w:szCs w:val="31"/>
        </w:rPr>
        <w:t>Erstellen Sie ein offizielles Internet-Plattform-Kontosystem für die Konferenz, in dem Aussteller und Einzelpersonen Anmeldeinformationen nach Bedarf eingeben, digitale Pässe generieren und entsprechende Berechtigungen erhalten können. Nach der Anmeldung können Sie Informationsabruf, Informationsveröffentlichung, Online-Verhandlungen, Werbeanwendungen und andere Vorgänge nach verschiedenen Berechtigungen durchführen.</w:t>
      </w:r>
    </w:p>
    <w:p>
      <w:pPr>
        <w:spacing w:before="2" w:line="223" w:lineRule="auto"/>
        <w:ind w:left="624"/>
        <w:outlineLvl w:val="0"/>
        <w:rPr>
          <w:rFonts w:ascii="仿宋" w:hAnsi="仿宋" w:eastAsia="仿宋" w:cs="仿宋"/>
          <w:sz w:val="31"/>
          <w:szCs w:val="31"/>
        </w:rPr>
      </w:pPr>
      <w:r>
        <w:rPr>
          <w:rFonts w:ascii="Times New Roman" w:hAnsi="Times New Roman" w:eastAsia="Times New Roman" w:cs="Times New Roman"/>
          <w:b/>
          <w:bCs/>
          <w:spacing w:val="2"/>
          <w:sz w:val="31"/>
          <w:szCs w:val="31"/>
        </w:rPr>
        <w:t>2. Ausstellungshalle Management System</w:t>
      </w:r>
    </w:p>
    <w:p>
      <w:pPr>
        <w:spacing w:before="188" w:line="333" w:lineRule="auto"/>
        <w:ind w:left="11" w:right="287" w:firstLine="645"/>
        <w:rPr>
          <w:rFonts w:ascii="仿宋" w:hAnsi="仿宋" w:eastAsia="仿宋" w:cs="仿宋"/>
          <w:sz w:val="31"/>
          <w:szCs w:val="31"/>
        </w:rPr>
      </w:pPr>
      <w:r>
        <w:rPr>
          <w:rFonts w:ascii="仿宋" w:hAnsi="仿宋" w:eastAsia="仿宋" w:cs="仿宋"/>
          <w:spacing w:val="-1"/>
          <w:sz w:val="31"/>
          <w:szCs w:val="31"/>
        </w:rPr>
        <w:t>Wir bieten Dienstleistungen wie Online-Standreservierung und -management, vernünftige Standplanung, Stand-technische Anforderungen, Stand-Integration Upload und Backend-Management rund um den gesamten Geschäftsprozess von Pre-Messevorbereitung, Ausstellungsmanagement und Post-Messedienstleistungen.</w:t>
      </w:r>
    </w:p>
    <w:p>
      <w:pPr>
        <w:spacing w:before="1" w:line="224" w:lineRule="auto"/>
        <w:ind w:left="621"/>
        <w:outlineLvl w:val="0"/>
        <w:rPr>
          <w:rFonts w:ascii="仿宋" w:hAnsi="仿宋" w:eastAsia="仿宋" w:cs="仿宋"/>
          <w:sz w:val="31"/>
          <w:szCs w:val="31"/>
        </w:rPr>
      </w:pPr>
      <w:r>
        <w:rPr>
          <w:rFonts w:ascii="Times New Roman" w:hAnsi="Times New Roman" w:eastAsia="Times New Roman" w:cs="Times New Roman"/>
          <w:b/>
          <w:bCs/>
          <w:spacing w:val="2"/>
          <w:sz w:val="31"/>
          <w:szCs w:val="31"/>
        </w:rPr>
        <w:t>3. Online-Konferenzsystem</w:t>
      </w:r>
    </w:p>
    <w:p>
      <w:pPr>
        <w:sectPr>
          <w:footerReference r:id="rId6" w:type="default"/>
          <w:pgSz w:w="11906" w:h="16839"/>
          <w:pgMar w:top="400" w:right="1311" w:bottom="1876" w:left="1593" w:header="0" w:footer="171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101" w:line="333" w:lineRule="auto"/>
        <w:ind w:right="76" w:firstLine="626"/>
        <w:rPr>
          <w:rFonts w:ascii="仿宋" w:hAnsi="仿宋" w:eastAsia="仿宋" w:cs="仿宋"/>
          <w:sz w:val="31"/>
          <w:szCs w:val="31"/>
        </w:rPr>
      </w:pPr>
      <w:r>
        <w:rPr>
          <w:rFonts w:ascii="仿宋" w:hAnsi="仿宋" w:eastAsia="仿宋" w:cs="仿宋"/>
          <w:spacing w:val="1"/>
          <w:sz w:val="31"/>
          <w:szCs w:val="31"/>
        </w:rPr>
        <w:t>Als vorteilhafte Ergänzung zu Offline-Ausstellungen bietet das Online-Konferenzsystem Hilfsdienste wie Online-Meetings, Live-Streaming und Online-Kommunikation für Foren, professionelle Konferenzen, Projektdocking und andere Aktivitäten, die von ausländischen Institutionen organisiert und durchgeführt werden, die aufgrund der Epidemie nicht vor Ort teilnehmen können.</w:t>
      </w:r>
    </w:p>
    <w:p>
      <w:pPr>
        <w:spacing w:line="222" w:lineRule="auto"/>
        <w:ind w:left="618"/>
        <w:outlineLvl w:val="0"/>
        <w:rPr>
          <w:rFonts w:ascii="仿宋" w:hAnsi="仿宋" w:eastAsia="仿宋" w:cs="仿宋"/>
          <w:sz w:val="31"/>
          <w:szCs w:val="31"/>
        </w:rPr>
      </w:pPr>
      <w:r>
        <w:rPr>
          <w:rFonts w:ascii="Times New Roman" w:hAnsi="Times New Roman" w:eastAsia="Times New Roman" w:cs="Times New Roman"/>
          <w:b/>
          <w:bCs/>
          <w:spacing w:val="2"/>
          <w:sz w:val="31"/>
          <w:szCs w:val="31"/>
        </w:rPr>
        <w:t>4. Werbung und Öffentlichkeitsarbeit</w:t>
      </w:r>
    </w:p>
    <w:p>
      <w:pPr>
        <w:spacing w:before="183" w:line="334" w:lineRule="auto"/>
        <w:ind w:left="7" w:firstLine="622"/>
        <w:rPr>
          <w:rFonts w:ascii="仿宋" w:hAnsi="仿宋" w:eastAsia="仿宋" w:cs="仿宋"/>
          <w:sz w:val="31"/>
          <w:szCs w:val="31"/>
        </w:rPr>
      </w:pPr>
      <w:r>
        <w:rPr>
          <w:rFonts w:ascii="仿宋" w:hAnsi="仿宋" w:eastAsia="仿宋" w:cs="仿宋"/>
          <w:spacing w:val="1"/>
          <w:sz w:val="31"/>
          <w:szCs w:val="31"/>
        </w:rPr>
        <w:t>Nutzen Sie die Rolle der Konferenz-Internetplattform als Hauptfenster für internationale wissenschaftliche und technologische Innovationszusammenarbeit und den Austausch von Talenten für externe Förderung vollständig und bieten Sie umfassende Medienplatzierungsmanagement-Lösungen, die auf lokalen Bedürfnissen basieren und den Benutzern einen Service aus einer Hand bieten.</w:t>
      </w:r>
    </w:p>
    <w:p>
      <w:pPr>
        <w:spacing w:before="1" w:line="223" w:lineRule="auto"/>
        <w:ind w:left="621"/>
        <w:outlineLvl w:val="0"/>
        <w:rPr>
          <w:rFonts w:ascii="仿宋" w:hAnsi="仿宋" w:eastAsia="仿宋" w:cs="仿宋"/>
          <w:sz w:val="31"/>
          <w:szCs w:val="31"/>
        </w:rPr>
      </w:pPr>
      <w:r>
        <w:rPr>
          <w:rFonts w:ascii="Times New Roman" w:hAnsi="Times New Roman" w:eastAsia="Times New Roman" w:cs="Times New Roman"/>
          <w:b/>
          <w:bCs/>
          <w:spacing w:val="1"/>
          <w:sz w:val="31"/>
          <w:szCs w:val="31"/>
        </w:rPr>
        <w:t>5. Konferenzinformationen</w:t>
      </w:r>
    </w:p>
    <w:p>
      <w:pPr>
        <w:spacing w:before="183" w:line="220" w:lineRule="auto"/>
        <w:ind w:left="629"/>
        <w:rPr>
          <w:rFonts w:ascii="仿宋" w:hAnsi="仿宋" w:eastAsia="仿宋" w:cs="仿宋"/>
          <w:sz w:val="31"/>
          <w:szCs w:val="31"/>
        </w:rPr>
      </w:pPr>
      <w:r>
        <w:rPr>
          <w:rFonts w:ascii="仿宋" w:hAnsi="仿宋" w:eastAsia="仿宋" w:cs="仿宋"/>
          <w:spacing w:val="1"/>
          <w:sz w:val="31"/>
          <w:szCs w:val="31"/>
        </w:rPr>
        <w:t>Geben Sie wichtige Informationen im Zusammenhang mit der Konferenz wie Nachrichten, Mitteilungen und Ankündigungen zentral frei.</w:t>
      </w:r>
    </w:p>
    <w:p>
      <w:pPr>
        <w:spacing w:before="190" w:line="241" w:lineRule="auto"/>
        <w:ind w:left="629"/>
        <w:rPr>
          <w:rFonts w:ascii="黑体" w:hAnsi="黑体" w:eastAsia="黑体" w:cs="黑体"/>
          <w:sz w:val="31"/>
          <w:szCs w:val="31"/>
        </w:rPr>
      </w:pPr>
      <w:r>
        <w:rPr>
          <w:rFonts w:ascii="黑体" w:hAnsi="黑体" w:eastAsia="黑体" w:cs="黑体"/>
          <w:spacing w:val="-1"/>
          <w:sz w:val="31"/>
          <w:szCs w:val="31"/>
        </w:rPr>
        <w:t>3,Vorbereitung auf die Teilnahme</w:t>
      </w:r>
    </w:p>
    <w:p>
      <w:pPr>
        <w:spacing w:before="157" w:line="332" w:lineRule="auto"/>
        <w:ind w:left="1" w:firstLine="647"/>
        <w:rPr>
          <w:rFonts w:ascii="仿宋" w:hAnsi="仿宋" w:eastAsia="仿宋" w:cs="仿宋"/>
          <w:sz w:val="31"/>
          <w:szCs w:val="31"/>
        </w:rPr>
      </w:pPr>
      <w:r>
        <w:rPr>
          <w:rFonts w:ascii="楷体" w:hAnsi="楷体" w:eastAsia="楷体" w:cs="楷体"/>
          <w:spacing w:val="10"/>
          <w:sz w:val="31"/>
          <w:szCs w:val="31"/>
        </w:rPr>
        <w:t>(1) Gemäß dem allgemeinen Einsatz des Ministeriums für Wissenschaft und Technologie (Staatsverwaltung für ausländische Sachverständige) und der Stadtverwaltung von Shenzhen liegen die Organisation und Durchführung der Online-Konferenz in der spezifischen Verantwortung des Shenzhen International Talent Exchange Center. Für detaillierte Informationen besuchen Sie bitte die offizielle Website der Konferenz (www.ciep. gov.cn) und kontaktieren Sie die Shenzhen Working Group des Organisationskomitees der Konferenz.</w:t>
      </w:r>
    </w:p>
    <w:p>
      <w:pPr>
        <w:spacing w:before="6" w:line="334" w:lineRule="auto"/>
        <w:ind w:left="7" w:right="76" w:firstLine="640"/>
        <w:rPr>
          <w:rFonts w:ascii="仿宋" w:hAnsi="仿宋" w:eastAsia="仿宋" w:cs="仿宋"/>
          <w:sz w:val="31"/>
          <w:szCs w:val="31"/>
        </w:rPr>
      </w:pPr>
      <w:r>
        <w:rPr>
          <w:rFonts w:ascii="楷体" w:hAnsi="楷体" w:eastAsia="楷体" w:cs="楷体"/>
          <w:spacing w:val="10"/>
          <w:sz w:val="31"/>
          <w:szCs w:val="31"/>
        </w:rPr>
        <w:t>(2) Bitte nehmen Sie aktiv an virtuellen Ausstellungshallen, Projekt Matchmaking, Online-Rekrutierung und anderen Aktivitäten teil, die auf den lokalen industriellen Bedürfnissen und der tatsächlichen Situation basieren.</w:t>
      </w:r>
    </w:p>
    <w:p>
      <w:pPr>
        <w:spacing w:line="232" w:lineRule="auto"/>
        <w:ind w:left="641"/>
        <w:rPr>
          <w:rFonts w:ascii="黑体" w:hAnsi="黑体" w:eastAsia="黑体" w:cs="黑体"/>
          <w:sz w:val="31"/>
          <w:szCs w:val="31"/>
        </w:rPr>
      </w:pPr>
      <w:r>
        <w:rPr>
          <w:rFonts w:ascii="黑体" w:hAnsi="黑体" w:eastAsia="黑体" w:cs="黑体"/>
          <w:spacing w:val="-3"/>
          <w:sz w:val="31"/>
          <w:szCs w:val="31"/>
        </w:rPr>
        <w:t>4,Kontaktinformationen</w:t>
      </w:r>
    </w:p>
    <w:p>
      <w:pPr>
        <w:spacing w:before="171" w:line="225" w:lineRule="auto"/>
        <w:ind w:left="622"/>
        <w:rPr>
          <w:rFonts w:ascii="仿宋" w:hAnsi="仿宋" w:eastAsia="仿宋" w:cs="仿宋"/>
          <w:sz w:val="31"/>
          <w:szCs w:val="31"/>
        </w:rPr>
      </w:pPr>
      <w:r>
        <w:rPr>
          <w:rFonts w:ascii="仿宋" w:hAnsi="仿宋" w:eastAsia="仿宋" w:cs="仿宋"/>
          <w:spacing w:val="1"/>
          <w:sz w:val="31"/>
          <w:szCs w:val="31"/>
        </w:rPr>
        <w:t>Ansprechpartner: Deng Yungang, Ye Xiuwen</w:t>
      </w:r>
    </w:p>
    <w:p>
      <w:pPr>
        <w:spacing w:before="184" w:line="500" w:lineRule="exact"/>
        <w:ind w:left="660"/>
        <w:rPr>
          <w:rFonts w:ascii="Times New Roman" w:hAnsi="Times New Roman" w:eastAsia="Times New Roman" w:cs="Times New Roman"/>
          <w:sz w:val="31"/>
          <w:szCs w:val="31"/>
        </w:rPr>
      </w:pPr>
      <w:r>
        <w:rPr>
          <w:rFonts w:ascii="仿宋" w:hAnsi="仿宋" w:eastAsia="仿宋" w:cs="仿宋"/>
          <w:spacing w:val="-1"/>
          <w:position w:val="13"/>
          <w:sz w:val="31"/>
          <w:szCs w:val="31"/>
        </w:rPr>
        <w:t>Tel.: 0755 81773205, 0755 81773047</w:t>
      </w:r>
    </w:p>
    <w:p>
      <w:pPr>
        <w:spacing w:line="429" w:lineRule="exact"/>
        <w:ind w:left="636"/>
        <w:rPr>
          <w:rFonts w:ascii="Times New Roman" w:hAnsi="Times New Roman" w:eastAsia="Times New Roman" w:cs="Times New Roman"/>
          <w:sz w:val="31"/>
          <w:szCs w:val="31"/>
        </w:rPr>
      </w:pPr>
      <w:r>
        <w:rPr>
          <w:rFonts w:ascii="仿宋" w:hAnsi="仿宋" w:eastAsia="仿宋" w:cs="仿宋"/>
          <w:spacing w:val="-2"/>
          <w:position w:val="4"/>
          <w:sz w:val="31"/>
          <w:szCs w:val="31"/>
        </w:rPr>
        <w:t>Email: ciep2001@ciep.gov.cn</w:t>
      </w:r>
    </w:p>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08B60D54"/>
    <w:rsid w:val="0CCE2B10"/>
    <w:rsid w:val="0DE819AF"/>
    <w:rsid w:val="145768B3"/>
    <w:rsid w:val="251E0AED"/>
    <w:rsid w:val="2802614E"/>
    <w:rsid w:val="4EBB043F"/>
    <w:rsid w:val="54E3249D"/>
    <w:rsid w:val="636E387A"/>
    <w:rsid w:val="6A93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39EF45351DB04493893CEF2B9A06DBE6</vt:lpwstr>
  </property>
</Properties>
</file>