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11" w:lineRule="auto"/>
        <w:ind w:left="1767" w:right="1204" w:hanging="646"/>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Implementierungsplan für die Matchmaking Sektion des 21st China International Talent Exchange Conference Project</w:t>
      </w:r>
    </w:p>
    <w:bookmarkEnd w:id="0"/>
    <w:p>
      <w:pPr>
        <w:spacing w:line="384" w:lineRule="auto"/>
        <w:rPr>
          <w:rFonts w:ascii="Arial"/>
          <w:sz w:val="21"/>
        </w:rPr>
      </w:pPr>
    </w:p>
    <w:p>
      <w:pPr>
        <w:spacing w:before="101" w:line="334" w:lineRule="auto"/>
        <w:ind w:right="71" w:firstLine="623"/>
        <w:rPr>
          <w:rFonts w:ascii="仿宋" w:hAnsi="仿宋" w:eastAsia="仿宋" w:cs="仿宋"/>
          <w:sz w:val="31"/>
          <w:szCs w:val="31"/>
        </w:rPr>
      </w:pPr>
      <w:r>
        <w:rPr>
          <w:rFonts w:ascii="仿宋" w:hAnsi="仿宋" w:eastAsia="仿宋" w:cs="仿宋"/>
          <w:spacing w:val="-20"/>
          <w:sz w:val="31"/>
          <w:szCs w:val="31"/>
        </w:rPr>
        <w:t>Gemäß dem Gesamtarbeitsplan der 21sten China International Talent Exchange Conference wird sich die Konferenz auf das Overseas Online Talent Exchange and Negotiation System (EO System) der offiziellen Website verlassen, um die Aktivität "List Opening" aktiv durchzuführen und umfassende, intelligente und präzise Projektdocking- und Austauschdienste bereitzustellen.</w:t>
      </w:r>
    </w:p>
    <w:p>
      <w:pPr>
        <w:spacing w:line="513" w:lineRule="exact"/>
        <w:ind w:left="632"/>
        <w:rPr>
          <w:rFonts w:ascii="黑体" w:hAnsi="黑体" w:eastAsia="黑体" w:cs="黑体"/>
          <w:sz w:val="31"/>
          <w:szCs w:val="31"/>
        </w:rPr>
      </w:pPr>
      <w:r>
        <w:rPr>
          <w:rFonts w:ascii="黑体" w:hAnsi="黑体" w:eastAsia="黑体" w:cs="黑体"/>
          <w:spacing w:val="-1"/>
          <w:position w:val="4"/>
          <w:sz w:val="31"/>
          <w:szCs w:val="31"/>
        </w:rPr>
        <w:t>1,2Dienstzeit</w:t>
      </w:r>
    </w:p>
    <w:p>
      <w:pPr>
        <w:spacing w:before="48" w:line="222" w:lineRule="auto"/>
        <w:ind w:left="626"/>
        <w:rPr>
          <w:rFonts w:ascii="仿宋" w:hAnsi="仿宋" w:eastAsia="仿宋" w:cs="仿宋"/>
          <w:sz w:val="31"/>
          <w:szCs w:val="31"/>
        </w:rPr>
      </w:pPr>
      <w:r>
        <w:rPr>
          <w:rFonts w:ascii="仿宋" w:hAnsi="仿宋" w:eastAsia="仿宋" w:cs="仿宋"/>
          <w:spacing w:val="1"/>
          <w:sz w:val="31"/>
          <w:szCs w:val="31"/>
        </w:rPr>
        <w:t>Bieten Sie das ganze Jahr über regelmäßig Projektdocking-Dienste an.</w:t>
      </w:r>
    </w:p>
    <w:p>
      <w:pPr>
        <w:spacing w:before="184" w:line="416" w:lineRule="exact"/>
        <w:ind w:left="632"/>
        <w:rPr>
          <w:rFonts w:ascii="黑体" w:hAnsi="黑体" w:eastAsia="黑体" w:cs="黑体"/>
          <w:sz w:val="31"/>
          <w:szCs w:val="31"/>
        </w:rPr>
      </w:pPr>
      <w:r>
        <w:rPr>
          <w:rFonts w:ascii="黑体" w:hAnsi="黑体" w:eastAsia="黑体" w:cs="黑体"/>
          <w:spacing w:val="-1"/>
          <w:position w:val="2"/>
          <w:sz w:val="31"/>
          <w:szCs w:val="31"/>
        </w:rPr>
        <w:t>2,Inhalt der Dienstleistung</w:t>
      </w:r>
    </w:p>
    <w:p>
      <w:pPr>
        <w:spacing w:before="149" w:line="333" w:lineRule="auto"/>
        <w:ind w:left="5" w:firstLine="616"/>
        <w:rPr>
          <w:rFonts w:ascii="仿宋" w:hAnsi="仿宋" w:eastAsia="仿宋" w:cs="仿宋"/>
          <w:sz w:val="31"/>
          <w:szCs w:val="31"/>
        </w:rPr>
      </w:pPr>
      <w:r>
        <w:rPr>
          <w:rFonts w:ascii="仿宋" w:hAnsi="仿宋" w:eastAsia="仿宋" w:cs="仿宋"/>
          <w:spacing w:val="1"/>
          <w:sz w:val="31"/>
          <w:szCs w:val="31"/>
        </w:rPr>
        <w:t xml:space="preserve">Durch die Nutzung der Vorteile der starken Ressourcen-Integrationsfähigkeit, der bequemen und schnellen Nutzung und der breiten Abdeckung des EO-Systems, bieten wir eine Online-Plattform für inländische Unternehmen und Institutionen, um technisches Docking, wissenschaftliche Forschungszusammenarbeit, Leistungstransfer, Stellenrekrutierung und andere Aktivitäten mit ausländischen Expertenorganisationen und professionellen Institutionen durch Funktionen wie Online-Veröffentlichung, Online-Verhandlung, dedizierte Anzeige und mehrsprachige Übersetzung durchzuführen.</w:t>
      </w:r>
    </w:p>
    <w:p>
      <w:pPr>
        <w:spacing w:before="3" w:line="336" w:lineRule="auto"/>
        <w:ind w:left="1" w:right="79" w:firstLine="620"/>
        <w:rPr>
          <w:rFonts w:ascii="仿宋" w:hAnsi="仿宋" w:eastAsia="仿宋" w:cs="仿宋"/>
          <w:sz w:val="31"/>
          <w:szCs w:val="31"/>
        </w:rPr>
      </w:pPr>
      <w:r>
        <w:rPr>
          <w:rFonts w:ascii="仿宋" w:hAnsi="仿宋" w:eastAsia="仿宋" w:cs="仿宋"/>
          <w:spacing w:val="-10"/>
          <w:sz w:val="31"/>
          <w:szCs w:val="31"/>
        </w:rPr>
        <w:t>Auf Basis des EO-Systems, um die "Zhang Jiebang"-Aktivität zu organisieren, werden an prominenten Orten der Hauptausstellungshalle und jedes Ausstellungsbereichs während der Konferenz eine "Project Cooperation List" und eine "Talent Demand List" eingerichtet. Angebots- und Nachfragedaten wie Projekte, Technologie, Fonds und Talente werden veröffentlicht und bieten den Ausstellern die Möglichkeit, eine für beide Seiten vorteilhafte und Win-Win-praktische Zusammenarbeit zu erreichen. Tägliche zentralisierte Online-Veröffentlichung von Angebots- und Nachfragedaten wie Projekten und Talenten, die von den Ausstellern im Voraus gesammelt wurden, und Screening der wichtigsten Bedürfnisse der Projektzusammenarbeit und des Talentbedarfs an prominenter Stelle auf der offiziellen Website der Konferenz.</w:t>
      </w:r>
    </w:p>
    <w:p>
      <w:pPr>
        <w:sectPr>
          <w:footerReference r:id="rId5" w:type="default"/>
          <w:pgSz w:w="11906" w:h="16839"/>
          <w:pgMar w:top="400" w:right="1519" w:bottom="1876" w:left="1595"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right="79" w:firstLine="32"/>
        <w:rPr>
          <w:rFonts w:ascii="楷体" w:hAnsi="楷体" w:eastAsia="楷体" w:cs="楷体"/>
          <w:sz w:val="31"/>
          <w:szCs w:val="31"/>
        </w:rPr>
      </w:pPr>
      <w:r>
        <w:rPr>
          <w:rFonts w:ascii="仿宋" w:hAnsi="仿宋" w:eastAsia="仿宋" w:cs="仿宋"/>
          <w:spacing w:val="-20"/>
          <w:sz w:val="31"/>
          <w:szCs w:val="31"/>
        </w:rPr>
        <w:t>Die Enthüllungsveranstaltung bietet allen Beteiligten die Möglichkeit, eine für beide Seiten vorteilhafte und Win-Win-praktische Zusammenarbeit zu erreichen Geführt vom Ministerium für Wissenschaft und Technologie, durchgeführt vom China International Talent Exchange Center und dem Shenzhen International Talent Exchange Center</w:t>
      </w:r>
    </w:p>
    <w:p>
      <w:pPr>
        <w:spacing w:before="3" w:line="315" w:lineRule="auto"/>
        <w:ind w:left="639" w:right="465" w:hanging="4"/>
        <w:rPr>
          <w:rFonts w:ascii="仿宋" w:hAnsi="仿宋" w:eastAsia="仿宋" w:cs="仿宋"/>
          <w:sz w:val="31"/>
          <w:szCs w:val="31"/>
        </w:rPr>
      </w:pPr>
      <w:r>
        <w:rPr>
          <w:rFonts w:ascii="黑体" w:hAnsi="黑体" w:eastAsia="黑体" w:cs="黑体"/>
          <w:spacing w:val="1"/>
          <w:sz w:val="31"/>
          <w:szCs w:val="31"/>
        </w:rPr>
        <w:t>3,0 EO Systemfunktion 1. Stellen Sie Benutzerbetriebsfunktionen wie Online-Veröffentlichung, Beantwortung, Lesezeichen und Bewertung zur Verfügung. 2. Stellen Sie Benutzerverwaltungsfunktionen wie institutionelles Management, Mitgliedermanagement und Informationsänderung zur Verfügung. 3. Stellen Sie Projektzusammenarbeit, Talentnachfrage, Talentressourcen und andere Projektdocking-Funktionen zur Verfügung. 4. Stellen Sie Informationsanzeigefunktionen wie Institutionseinführung, Richtlinienvergabe und Nachrichtenaktualisierungen zur Verfügung.</w:t>
      </w:r>
    </w:p>
    <w:p>
      <w:pPr>
        <w:spacing w:before="150" w:line="232" w:lineRule="auto"/>
        <w:ind w:left="647"/>
        <w:rPr>
          <w:rFonts w:ascii="黑体" w:hAnsi="黑体" w:eastAsia="黑体" w:cs="黑体"/>
          <w:sz w:val="31"/>
          <w:szCs w:val="31"/>
        </w:rPr>
      </w:pPr>
      <w:r>
        <w:rPr>
          <w:rFonts w:ascii="黑体" w:hAnsi="黑体" w:eastAsia="黑体" w:cs="黑体"/>
          <w:spacing w:val="-3"/>
          <w:sz w:val="31"/>
          <w:szCs w:val="31"/>
        </w:rPr>
        <w:t>4,Tätigkeitsprozess</w:t>
      </w:r>
    </w:p>
    <w:p>
      <w:pPr>
        <w:spacing w:before="172" w:line="229" w:lineRule="auto"/>
        <w:ind w:left="654"/>
        <w:rPr>
          <w:rFonts w:ascii="楷体" w:hAnsi="楷体" w:eastAsia="楷体" w:cs="楷体"/>
          <w:sz w:val="31"/>
          <w:szCs w:val="31"/>
        </w:rPr>
      </w:pPr>
      <w:r>
        <w:rPr>
          <w:rFonts w:ascii="楷体" w:hAnsi="楷体" w:eastAsia="楷体" w:cs="楷体"/>
          <w:spacing w:val="15"/>
          <w:sz w:val="31"/>
          <w:szCs w:val="31"/>
        </w:rPr>
        <w:t>(1) Regelmäßige Übermittlung von Informationen über Angebot und Nachfrage</w:t>
      </w:r>
    </w:p>
    <w:p>
      <w:pPr>
        <w:spacing w:before="176" w:line="333" w:lineRule="auto"/>
        <w:ind w:left="6" w:right="2" w:firstLine="621"/>
        <w:rPr>
          <w:rFonts w:ascii="仿宋" w:hAnsi="仿宋" w:eastAsia="仿宋" w:cs="仿宋"/>
          <w:sz w:val="31"/>
          <w:szCs w:val="31"/>
        </w:rPr>
      </w:pPr>
      <w:r>
        <w:rPr>
          <w:rFonts w:ascii="仿宋" w:hAnsi="仿宋" w:eastAsia="仿宋" w:cs="仿宋"/>
          <w:spacing w:val="1"/>
          <w:sz w:val="31"/>
          <w:szCs w:val="31"/>
        </w:rPr>
        <w:t>Jede Einheit sammelt und sortiert verschiedene Projekte und Informationen zu Talentangebot und -nachfrage basierend auf den lokalen Bedürfnissen der industriellen Entwicklung und Schlüsselentwicklungsbereichen, fasst regelmäßig das "China International Talent Exchange Conference Supply and Demand Information Collection Form" (nachfolgend "Sammelformular" genannt, das von der offiziellen Website der Konferenz heruntergeladen werden kann) zusammen und sendet es innerhalb des entsprechenden Zeitraums an die angegebene E-Mail-Adresse der Konferenz.</w:t>
      </w:r>
    </w:p>
    <w:p>
      <w:pPr>
        <w:spacing w:line="228" w:lineRule="auto"/>
        <w:ind w:left="654"/>
        <w:rPr>
          <w:rFonts w:ascii="楷体" w:hAnsi="楷体" w:eastAsia="楷体" w:cs="楷体"/>
          <w:sz w:val="31"/>
          <w:szCs w:val="31"/>
        </w:rPr>
      </w:pPr>
      <w:r>
        <w:rPr>
          <w:rFonts w:ascii="楷体" w:hAnsi="楷体" w:eastAsia="楷体" w:cs="楷体"/>
          <w:spacing w:val="15"/>
          <w:sz w:val="31"/>
          <w:szCs w:val="31"/>
        </w:rPr>
        <w:t>(2) Systemnutzungskonto aktivieren</w:t>
      </w:r>
    </w:p>
    <w:p>
      <w:pPr>
        <w:spacing w:before="181" w:line="333" w:lineRule="auto"/>
        <w:ind w:left="21" w:firstLine="621"/>
        <w:rPr>
          <w:rFonts w:ascii="仿宋" w:hAnsi="仿宋" w:eastAsia="仿宋" w:cs="仿宋"/>
          <w:sz w:val="31"/>
          <w:szCs w:val="31"/>
        </w:rPr>
      </w:pPr>
      <w:r>
        <w:rPr>
          <w:rFonts w:ascii="仿宋" w:hAnsi="仿宋" w:eastAsia="仿宋" w:cs="仿宋"/>
          <w:spacing w:val="-16"/>
          <w:sz w:val="31"/>
          <w:szCs w:val="31"/>
        </w:rPr>
        <w:t>Das Organisationskomitee der Konferenz importiert einheitlich die von jeder Einheit übermittelten Informationen in das EO-System, erstellt Benutzerkonto, Feedback zu den von jeder Einheit gefüllten Kontaktpostfächern, screent und markiert Schlüsselprojekte und Talentbedarf und veröffentlicht das "Poster". Jede Einheit sollte das EO-Systembenutzerkonto zeitnah aktivieren und Systemressourcen kontinuierlich nutzen, um Projektdocking und Zusammenarbeit zu fördern.</w:t>
      </w:r>
    </w:p>
    <w:p>
      <w:pPr>
        <w:spacing w:before="1" w:line="228" w:lineRule="auto"/>
        <w:ind w:left="654"/>
        <w:rPr>
          <w:rFonts w:ascii="楷体" w:hAnsi="楷体" w:eastAsia="楷体" w:cs="楷体"/>
          <w:sz w:val="31"/>
          <w:szCs w:val="31"/>
        </w:rPr>
      </w:pPr>
      <w:r>
        <w:rPr>
          <w:rFonts w:ascii="楷体" w:hAnsi="楷体" w:eastAsia="楷体" w:cs="楷体"/>
          <w:spacing w:val="15"/>
          <w:sz w:val="31"/>
          <w:szCs w:val="31"/>
        </w:rPr>
        <w:t>(3) Besondere Anforderungen unverzüglich erheben</w:t>
      </w:r>
    </w:p>
    <w:p>
      <w:pPr>
        <w:spacing w:before="176" w:line="344" w:lineRule="auto"/>
        <w:ind w:left="9" w:right="79" w:firstLine="625"/>
        <w:rPr>
          <w:rFonts w:ascii="仿宋" w:hAnsi="仿宋" w:eastAsia="仿宋" w:cs="仿宋"/>
          <w:sz w:val="31"/>
          <w:szCs w:val="31"/>
        </w:rPr>
      </w:pPr>
      <w:r>
        <w:rPr>
          <w:rFonts w:ascii="仿宋" w:hAnsi="仿宋" w:eastAsia="仿宋" w:cs="仿宋"/>
          <w:spacing w:val="1"/>
          <w:sz w:val="31"/>
          <w:szCs w:val="31"/>
        </w:rPr>
        <w:t>Für verschiedene Schlüsselprojekte und Talentbedürfnisse, die für die öffentliche Veröffentlichung unbequem sind, aber Dienstleistungen von der Konferenz erfordern, geben Sie diese bitte deutlich im "Sammelformular" an und fassen Sie sie separat zusammen und senden Sie sie an die Konferenz</w:t>
      </w:r>
    </w:p>
    <w:p>
      <w:pPr>
        <w:sectPr>
          <w:footerReference r:id="rId6" w:type="default"/>
          <w:pgSz w:w="11906" w:h="16839"/>
          <w:pgMar w:top="400" w:right="1519" w:bottom="1876" w:left="1593"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firstLine="3"/>
        <w:rPr>
          <w:rFonts w:ascii="仿宋" w:hAnsi="仿宋" w:eastAsia="仿宋" w:cs="仿宋"/>
          <w:sz w:val="31"/>
          <w:szCs w:val="31"/>
        </w:rPr>
      </w:pPr>
      <w:r>
        <w:rPr>
          <w:rFonts w:ascii="仿宋" w:hAnsi="仿宋" w:eastAsia="仿宋" w:cs="仿宋"/>
          <w:spacing w:val="-2"/>
          <w:sz w:val="31"/>
          <w:szCs w:val="31"/>
        </w:rPr>
        <w:t>Legen Sie eine E-Mail-Adresse fest, und das Organisationskomitee der Konferenz wird andere Methoden anwenden, um geeignete Partner und herausragende Talente zu finden.</w:t>
      </w:r>
    </w:p>
    <w:p>
      <w:pPr>
        <w:spacing w:before="1" w:line="239" w:lineRule="auto"/>
        <w:ind w:left="630"/>
        <w:rPr>
          <w:rFonts w:ascii="黑体" w:hAnsi="黑体" w:eastAsia="黑体" w:cs="黑体"/>
          <w:sz w:val="31"/>
          <w:szCs w:val="31"/>
        </w:rPr>
      </w:pPr>
      <w:r>
        <w:rPr>
          <w:rFonts w:ascii="黑体" w:hAnsi="黑体" w:eastAsia="黑体" w:cs="黑体"/>
          <w:spacing w:val="-2"/>
          <w:sz w:val="31"/>
          <w:szCs w:val="31"/>
        </w:rPr>
        <w:t>5,5,Kostenstandard</w:t>
      </w:r>
    </w:p>
    <w:p>
      <w:pPr>
        <w:spacing w:before="159" w:line="333" w:lineRule="auto"/>
        <w:ind w:left="630" w:right="135" w:hanging="15"/>
        <w:rPr>
          <w:rFonts w:ascii="黑体" w:hAnsi="黑体" w:eastAsia="黑体" w:cs="黑体"/>
          <w:sz w:val="31"/>
          <w:szCs w:val="31"/>
        </w:rPr>
      </w:pPr>
      <w:r>
        <w:rPr>
          <w:rFonts w:ascii="Times New Roman" w:hAnsi="Times New Roman" w:eastAsia="Times New Roman" w:cs="Times New Roman"/>
          <w:spacing w:val="-1"/>
          <w:sz w:val="31"/>
          <w:szCs w:val="31"/>
        </w:rPr>
        <w:t>Die funktionalen Basisleistungen des EO-Systems sind kostenlos, Mehrwertleistungen werden nach dem tatsächlichen Bedarf angeboten. 6,Kontaktinformationen</w:t>
      </w:r>
    </w:p>
    <w:p>
      <w:pPr>
        <w:spacing w:before="1" w:line="224" w:lineRule="auto"/>
        <w:ind w:left="621"/>
        <w:rPr>
          <w:rFonts w:ascii="仿宋" w:hAnsi="仿宋" w:eastAsia="仿宋" w:cs="仿宋"/>
          <w:sz w:val="31"/>
          <w:szCs w:val="31"/>
        </w:rPr>
      </w:pPr>
      <w:r>
        <w:rPr>
          <w:rFonts w:ascii="仿宋" w:hAnsi="仿宋" w:eastAsia="仿宋" w:cs="仿宋"/>
          <w:spacing w:val="1"/>
          <w:sz w:val="31"/>
          <w:szCs w:val="31"/>
        </w:rPr>
        <w:t>Ansprechpartner: Wang Yang, Guo Yan</w:t>
      </w:r>
    </w:p>
    <w:p>
      <w:pPr>
        <w:spacing w:before="184" w:line="501" w:lineRule="exact"/>
        <w:ind w:left="658"/>
        <w:rPr>
          <w:rFonts w:ascii="Times New Roman" w:hAnsi="Times New Roman" w:eastAsia="Times New Roman" w:cs="Times New Roman"/>
          <w:sz w:val="31"/>
          <w:szCs w:val="31"/>
        </w:rPr>
      </w:pPr>
      <w:r>
        <w:rPr>
          <w:rFonts w:ascii="仿宋" w:hAnsi="仿宋" w:eastAsia="仿宋" w:cs="仿宋"/>
          <w:spacing w:val="-1"/>
          <w:position w:val="13"/>
          <w:sz w:val="31"/>
          <w:szCs w:val="31"/>
        </w:rPr>
        <w:t>Tel.: 010-5882487, 010-5882132</w:t>
      </w:r>
    </w:p>
    <w:p>
      <w:pPr>
        <w:spacing w:line="429" w:lineRule="exact"/>
        <w:ind w:left="635"/>
        <w:rPr>
          <w:rFonts w:ascii="Times New Roman" w:hAnsi="Times New Roman" w:eastAsia="Times New Roman" w:cs="Times New Roman"/>
          <w:sz w:val="31"/>
          <w:szCs w:val="31"/>
        </w:rPr>
      </w:pPr>
      <w:r>
        <w:rPr>
          <w:rFonts w:ascii="仿宋" w:hAnsi="仿宋" w:eastAsia="仿宋" w:cs="仿宋"/>
          <w:spacing w:val="-2"/>
          <w:position w:val="4"/>
          <w:sz w:val="31"/>
          <w:szCs w:val="31"/>
        </w:rPr>
        <w:t>Email: EO@ciep.gov.cn</w:t>
      </w:r>
    </w:p>
    <w:p>
      <w:pPr>
        <w:sectPr>
          <w:footerReference r:id="rId7" w:type="default"/>
          <w:pgSz w:w="11906" w:h="16839"/>
          <w:pgMar w:top="400" w:right="1661" w:bottom="1876" w:left="1601" w:header="0" w:footer="1716" w:gutter="0"/>
          <w:cols w:space="720" w:num="1"/>
        </w:sectPr>
      </w:pPr>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 w:val="636E387A"/>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C3965628D8F6427CB8325347F038B72A</vt:lpwstr>
  </property>
</Properties>
</file>