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5" w:line="211" w:lineRule="auto"/>
        <w:ind w:left="2198" w:right="1204" w:hanging="1075"/>
        <w:rPr>
          <w:rFonts w:ascii="微软雅黑" w:hAnsi="微软雅黑" w:eastAsia="微软雅黑" w:cs="微软雅黑"/>
          <w:sz w:val="43"/>
          <w:szCs w:val="43"/>
        </w:rPr>
      </w:pPr>
      <w:bookmarkStart w:id="0" w:name="_GoBack"/>
      <w:r>
        <w:rPr>
          <w:rFonts w:ascii="微软雅黑" w:hAnsi="微软雅黑" w:eastAsia="微软雅黑" w:cs="微软雅黑"/>
          <w:spacing w:val="1"/>
          <w:sz w:val="43"/>
          <w:szCs w:val="43"/>
        </w:rPr>
        <w:t>Umsetzungsplan für die Themenaktivitäten der 21sten China International Talent Exchange Conference</w:t>
      </w:r>
    </w:p>
    <w:bookmarkEnd w:id="0"/>
    <w:p>
      <w:pPr>
        <w:spacing w:line="379" w:lineRule="auto"/>
        <w:rPr>
          <w:rFonts w:ascii="Arial"/>
          <w:sz w:val="21"/>
        </w:rPr>
      </w:pPr>
    </w:p>
    <w:p>
      <w:pPr>
        <w:spacing w:before="101" w:line="334" w:lineRule="auto"/>
        <w:ind w:left="8" w:firstLine="617"/>
        <w:rPr>
          <w:rFonts w:ascii="仿宋" w:hAnsi="仿宋" w:eastAsia="仿宋" w:cs="仿宋"/>
          <w:sz w:val="31"/>
          <w:szCs w:val="31"/>
        </w:rPr>
      </w:pPr>
      <w:r>
        <w:rPr>
          <w:rFonts w:ascii="仿宋" w:hAnsi="仿宋" w:eastAsia="仿宋" w:cs="仿宋"/>
          <w:spacing w:val="-20"/>
          <w:sz w:val="31"/>
          <w:szCs w:val="31"/>
        </w:rPr>
        <w:t>Gemäß dem Gesamtarbeitsplan der 21sten China International Talent Exchange Conference konzentriert sich die Konferenz auf die Förderung wissenschaftlicher und technologischer Innovationen, um eine Schlüsselrolle im reibungslosen Zyklus zu spielen, indem sie sich auf die inländische systemische Zirkulation stützt, zwei Märkte und zwei Ressourcen im In- und Ausland verwendet, wobei sie sich auf Grundlagenforschung, angewandte Forschung und wichtige Themen, heiße Themen und industrielle Entwicklungsbedürfnisse in der wirtschaftlichen und sozialen Entwicklung konzentriert Flexible Formen verschiedener thematischer Aktivitäten (im Folgenden "Aktivitäten" genannt), um die Sammlung von globalen technologischen Innovationsressourcen anzuziehen und der hochwertigen Entwicklung der nationalen und lokalen Wirtschaft und Gesellschaft zu dienen.</w:t>
      </w:r>
    </w:p>
    <w:p>
      <w:pPr>
        <w:spacing w:line="513" w:lineRule="exact"/>
        <w:ind w:left="635"/>
        <w:rPr>
          <w:rFonts w:ascii="黑体" w:hAnsi="黑体" w:eastAsia="黑体" w:cs="黑体"/>
          <w:sz w:val="31"/>
          <w:szCs w:val="31"/>
        </w:rPr>
      </w:pPr>
      <w:r>
        <w:rPr>
          <w:rFonts w:ascii="黑体" w:hAnsi="黑体" w:eastAsia="黑体" w:cs="黑体"/>
          <w:spacing w:val="-1"/>
          <w:position w:val="4"/>
          <w:sz w:val="31"/>
          <w:szCs w:val="31"/>
        </w:rPr>
        <w:t>1,Aktivitätszeit</w:t>
      </w:r>
    </w:p>
    <w:p>
      <w:pPr>
        <w:spacing w:before="48" w:line="222" w:lineRule="auto"/>
        <w:ind w:left="628"/>
        <w:rPr>
          <w:rFonts w:ascii="仿宋" w:hAnsi="仿宋" w:eastAsia="仿宋" w:cs="仿宋"/>
          <w:sz w:val="31"/>
          <w:szCs w:val="31"/>
        </w:rPr>
      </w:pPr>
      <w:r>
        <w:rPr>
          <w:rFonts w:ascii="仿宋" w:hAnsi="仿宋" w:eastAsia="仿宋" w:cs="仿宋"/>
          <w:spacing w:val="1"/>
          <w:sz w:val="31"/>
          <w:szCs w:val="31"/>
        </w:rPr>
        <w:t>Regelmäßig das ganze Jahr über.</w:t>
      </w:r>
    </w:p>
    <w:p>
      <w:pPr>
        <w:spacing w:before="184" w:line="416" w:lineRule="exact"/>
        <w:ind w:left="635"/>
        <w:rPr>
          <w:rFonts w:ascii="黑体" w:hAnsi="黑体" w:eastAsia="黑体" w:cs="黑体"/>
          <w:sz w:val="31"/>
          <w:szCs w:val="31"/>
        </w:rPr>
      </w:pPr>
      <w:r>
        <w:rPr>
          <w:rFonts w:ascii="黑体" w:hAnsi="黑体" w:eastAsia="黑体" w:cs="黑体"/>
          <w:spacing w:val="-1"/>
          <w:position w:val="2"/>
          <w:sz w:val="31"/>
          <w:szCs w:val="31"/>
        </w:rPr>
        <w:t>2,Inhalt der Tätigkeit</w:t>
      </w:r>
    </w:p>
    <w:p>
      <w:pPr>
        <w:spacing w:before="145" w:line="333" w:lineRule="auto"/>
        <w:ind w:right="81" w:firstLine="647"/>
        <w:rPr>
          <w:rFonts w:ascii="仿宋" w:hAnsi="仿宋" w:eastAsia="仿宋" w:cs="仿宋"/>
          <w:sz w:val="31"/>
          <w:szCs w:val="31"/>
        </w:rPr>
      </w:pPr>
      <w:r>
        <w:rPr>
          <w:rFonts w:ascii="仿宋" w:hAnsi="仿宋" w:eastAsia="仿宋" w:cs="仿宋"/>
          <w:spacing w:val="1"/>
          <w:sz w:val="31"/>
          <w:szCs w:val="31"/>
        </w:rPr>
        <w:t>Die Aktivitäten finden hauptsächlich in Form von Themenforen, Projektkooperationen, Talentaustausch und Inspektionsberatung statt und können je nach Bedarf separat oder kombiniert durchgeführt werden.</w:t>
      </w:r>
    </w:p>
    <w:p>
      <w:pPr>
        <w:spacing w:before="1" w:line="237" w:lineRule="auto"/>
        <w:ind w:left="655"/>
        <w:rPr>
          <w:rFonts w:ascii="楷体" w:hAnsi="楷体" w:eastAsia="楷体" w:cs="楷体"/>
          <w:sz w:val="31"/>
          <w:szCs w:val="31"/>
        </w:rPr>
      </w:pPr>
      <w:r>
        <w:rPr>
          <w:rFonts w:ascii="楷体" w:hAnsi="楷体" w:eastAsia="楷体" w:cs="楷体"/>
          <w:spacing w:val="21"/>
          <w:sz w:val="31"/>
          <w:szCs w:val="31"/>
        </w:rPr>
        <w:t>(1) Themenforum</w:t>
      </w:r>
    </w:p>
    <w:p>
      <w:pPr>
        <w:spacing w:before="160" w:line="339" w:lineRule="auto"/>
        <w:ind w:left="9" w:right="79" w:firstLine="664"/>
        <w:rPr>
          <w:rFonts w:ascii="仿宋" w:hAnsi="仿宋" w:eastAsia="仿宋" w:cs="仿宋"/>
          <w:sz w:val="31"/>
          <w:szCs w:val="31"/>
        </w:rPr>
      </w:pPr>
      <w:r>
        <w:rPr>
          <w:rFonts w:ascii="仿宋" w:hAnsi="仿宋" w:eastAsia="仿宋" w:cs="仿宋"/>
          <w:spacing w:val="-1"/>
          <w:sz w:val="31"/>
          <w:szCs w:val="31"/>
        </w:rPr>
        <w:t>Vor dem Hintergrund der Förderung beiderseitig vorteilhafter und Win-Win-internationaler wissenschaftlicher und technologischer Innovationszusammenarbeit und des Talentaustauschs in einem offenen Umfeld mit Fokus auf nationale und lokale Schlüsselentwicklungsbereiche und industrielle Entwicklungsrichtungen sind relevante Führungskräfte, in- und ausländische Experten und Wissenschaftler sowie Unternehmensvertreter eingeladen, an Diskussionen teilzunehmen und Erfahrungen auszutauschen.</w:t>
      </w:r>
    </w:p>
    <w:p>
      <w:pPr>
        <w:sectPr>
          <w:footerReference r:id="rId5" w:type="default"/>
          <w:pgSz w:w="11906" w:h="16839"/>
          <w:pgMar w:top="400" w:right="1519" w:bottom="1876" w:left="1592" w:header="0" w:footer="1716" w:gutter="0"/>
          <w:cols w:space="720" w:num="1"/>
        </w:sect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101" w:line="229" w:lineRule="auto"/>
        <w:ind w:left="650"/>
        <w:rPr>
          <w:rFonts w:ascii="楷体" w:hAnsi="楷体" w:eastAsia="楷体" w:cs="楷体"/>
          <w:sz w:val="31"/>
          <w:szCs w:val="31"/>
        </w:rPr>
      </w:pPr>
      <w:r>
        <w:rPr>
          <w:rFonts w:ascii="楷体" w:hAnsi="楷体" w:eastAsia="楷体" w:cs="楷体"/>
          <w:spacing w:val="21"/>
          <w:sz w:val="31"/>
          <w:szCs w:val="31"/>
        </w:rPr>
        <w:t>(2) Projektzusammenarbeit</w:t>
      </w:r>
    </w:p>
    <w:p>
      <w:pPr>
        <w:spacing w:before="180" w:line="333" w:lineRule="auto"/>
        <w:ind w:left="3" w:firstLine="649"/>
        <w:rPr>
          <w:rFonts w:ascii="仿宋" w:hAnsi="仿宋" w:eastAsia="仿宋" w:cs="仿宋"/>
          <w:sz w:val="31"/>
          <w:szCs w:val="31"/>
        </w:rPr>
      </w:pPr>
      <w:r>
        <w:rPr>
          <w:rFonts w:ascii="仿宋" w:hAnsi="仿宋" w:eastAsia="仿宋" w:cs="仿宋"/>
          <w:spacing w:val="-1"/>
          <w:sz w:val="31"/>
          <w:szCs w:val="31"/>
        </w:rPr>
        <w:t>Wir konzentrieren uns auf die wichtigsten Entwicklungsbereiche und industriellen Bedürfnisse des Landes und der relevanten lokalen Gebiete, folgen den Prinzipien der Präzision und Pragmatismus und verbessern die Erfolgsquoten, wir werden gemeinsam mit den kooperierenden Einheiten spezifische Bereiche und Themen bestimmen, die von den kooperierenden Einheiten gesammelten Nachfrageinformationen an ausländische Expertenorganisationen und andere überseeische Kooperationskanäle für Matching übertragen und Projekte mit hohem Matching-Grad auswählen. Organisieren Sie Förderung und Koordination zwischen Angebot und Nachfrage Parteien.</w:t>
      </w:r>
    </w:p>
    <w:p>
      <w:pPr>
        <w:spacing w:line="235" w:lineRule="auto"/>
        <w:ind w:left="650"/>
        <w:rPr>
          <w:rFonts w:ascii="楷体" w:hAnsi="楷体" w:eastAsia="楷体" w:cs="楷体"/>
          <w:sz w:val="31"/>
          <w:szCs w:val="31"/>
        </w:rPr>
      </w:pPr>
      <w:r>
        <w:rPr>
          <w:rFonts w:ascii="楷体" w:hAnsi="楷体" w:eastAsia="楷体" w:cs="楷体"/>
          <w:spacing w:val="21"/>
          <w:sz w:val="31"/>
          <w:szCs w:val="31"/>
        </w:rPr>
        <w:t>(3) Talentaustausch</w:t>
      </w:r>
    </w:p>
    <w:p>
      <w:pPr>
        <w:spacing w:before="167" w:line="333" w:lineRule="auto"/>
        <w:ind w:left="7" w:firstLine="661"/>
        <w:rPr>
          <w:rFonts w:ascii="仿宋" w:hAnsi="仿宋" w:eastAsia="仿宋" w:cs="仿宋"/>
          <w:sz w:val="31"/>
          <w:szCs w:val="31"/>
        </w:rPr>
      </w:pPr>
      <w:r>
        <w:rPr>
          <w:rFonts w:ascii="仿宋" w:hAnsi="仿宋" w:eastAsia="仿宋" w:cs="仿宋"/>
          <w:spacing w:val="-1"/>
          <w:sz w:val="31"/>
          <w:szCs w:val="31"/>
        </w:rPr>
        <w:t>Mit dem Ziel, die Entwicklung relevanter lokaler Branchen und Talentbedürfnisse zu befriedigen, laden wir Personaldienstleistungseinrichtungen, die mit der Konferenz zusammenarbeiten, ein, Talentrekrutierungs-, Lern- und Austauschaktivitäten auf der Grundlage des Talentbedarfs, der von den relevanten kooperierenden Einheiten gesammelt wird, zeitnah zu organisieren.</w:t>
      </w:r>
    </w:p>
    <w:p>
      <w:pPr>
        <w:spacing w:line="229" w:lineRule="auto"/>
        <w:ind w:left="650"/>
        <w:rPr>
          <w:rFonts w:ascii="楷体" w:hAnsi="楷体" w:eastAsia="楷体" w:cs="楷体"/>
          <w:sz w:val="31"/>
          <w:szCs w:val="31"/>
        </w:rPr>
      </w:pPr>
      <w:r>
        <w:rPr>
          <w:rFonts w:ascii="楷体" w:hAnsi="楷体" w:eastAsia="楷体" w:cs="楷体"/>
          <w:spacing w:val="21"/>
          <w:sz w:val="31"/>
          <w:szCs w:val="31"/>
        </w:rPr>
        <w:t>(4) Inspektionsleitlinien</w:t>
      </w:r>
    </w:p>
    <w:p>
      <w:pPr>
        <w:spacing w:before="176" w:line="333" w:lineRule="auto"/>
        <w:ind w:left="31" w:right="2" w:firstLine="621"/>
        <w:rPr>
          <w:rFonts w:ascii="仿宋" w:hAnsi="仿宋" w:eastAsia="仿宋" w:cs="仿宋"/>
          <w:sz w:val="31"/>
          <w:szCs w:val="31"/>
        </w:rPr>
      </w:pPr>
      <w:r>
        <w:rPr>
          <w:rFonts w:ascii="仿宋" w:hAnsi="仿宋" w:eastAsia="仿宋" w:cs="仿宋"/>
          <w:spacing w:val="-1"/>
          <w:sz w:val="31"/>
          <w:szCs w:val="31"/>
        </w:rPr>
        <w:t>Laden Sie ausländische Experten ein, gezielte Inspektionen und Anleitungen zu lokalen Herausforderungen der industriellen Entwicklung oder technischen Problemen durchzuführen, die für Unternehmen schwierig zu lösen sind.</w:t>
      </w:r>
    </w:p>
    <w:p>
      <w:pPr>
        <w:spacing w:before="1"/>
        <w:ind w:left="631"/>
        <w:rPr>
          <w:rFonts w:ascii="黑体" w:hAnsi="黑体" w:eastAsia="黑体" w:cs="黑体"/>
          <w:sz w:val="31"/>
          <w:szCs w:val="31"/>
        </w:rPr>
      </w:pPr>
      <w:r>
        <w:rPr>
          <w:rFonts w:ascii="黑体" w:hAnsi="黑体" w:eastAsia="黑体" w:cs="黑体"/>
          <w:spacing w:val="-1"/>
          <w:sz w:val="31"/>
          <w:szCs w:val="31"/>
        </w:rPr>
        <w:t>3,Tätigkeitsformat</w:t>
      </w:r>
    </w:p>
    <w:p>
      <w:pPr>
        <w:spacing w:before="153" w:line="334" w:lineRule="auto"/>
        <w:ind w:right="2" w:firstLine="625"/>
        <w:rPr>
          <w:rFonts w:ascii="仿宋" w:hAnsi="仿宋" w:eastAsia="仿宋" w:cs="仿宋"/>
          <w:sz w:val="31"/>
          <w:szCs w:val="31"/>
        </w:rPr>
      </w:pPr>
      <w:r>
        <w:rPr>
          <w:rFonts w:ascii="仿宋" w:hAnsi="仿宋" w:eastAsia="仿宋" w:cs="仿宋"/>
          <w:spacing w:val="1"/>
          <w:sz w:val="31"/>
          <w:szCs w:val="31"/>
        </w:rPr>
        <w:t>Basierend auf den Prinzipien der Sparsamkeit, Effizienz und Bequemlichkeit werden die Aktivitäten durch eine Kombination von Online- und Offline-Methoden durchgeführt. In den frühen Phasen der Kommunikation und Koordination werden Online-Methoden noch verwendet. Wenn die Kooperationsabsichten beider Parteien klar sind, werden ausländische Experten, Projektträger, ausländische Talente usw. organisiert, um China zu besuchen, um rechtzeitig vor Ort Inspektion, Austausch und Beratung.</w:t>
      </w:r>
    </w:p>
    <w:p>
      <w:pPr>
        <w:spacing w:line="232" w:lineRule="auto"/>
        <w:ind w:left="644"/>
        <w:rPr>
          <w:rFonts w:ascii="黑体" w:hAnsi="黑体" w:eastAsia="黑体" w:cs="黑体"/>
          <w:sz w:val="31"/>
          <w:szCs w:val="31"/>
        </w:rPr>
      </w:pPr>
      <w:r>
        <w:rPr>
          <w:rFonts w:ascii="黑体" w:hAnsi="黑体" w:eastAsia="黑体" w:cs="黑体"/>
          <w:spacing w:val="-3"/>
          <w:sz w:val="31"/>
          <w:szCs w:val="31"/>
        </w:rPr>
        <w:t>4,4,Markenaktivitäten</w:t>
      </w:r>
    </w:p>
    <w:p>
      <w:pPr>
        <w:spacing w:before="170" w:line="236" w:lineRule="auto"/>
        <w:ind w:left="650"/>
        <w:rPr>
          <w:rFonts w:ascii="楷体" w:hAnsi="楷体" w:eastAsia="楷体" w:cs="楷体"/>
          <w:sz w:val="31"/>
          <w:szCs w:val="31"/>
        </w:rPr>
      </w:pPr>
      <w:r>
        <w:rPr>
          <w:rFonts w:ascii="楷体" w:hAnsi="楷体" w:eastAsia="楷体" w:cs="楷体"/>
          <w:spacing w:val="23"/>
          <w:sz w:val="31"/>
          <w:szCs w:val="31"/>
        </w:rPr>
        <w:t>(1) Ort der Niederlassung</w:t>
      </w:r>
    </w:p>
    <w:p>
      <w:pPr>
        <w:spacing w:before="165" w:line="344" w:lineRule="auto"/>
        <w:ind w:left="13" w:firstLine="639"/>
        <w:rPr>
          <w:rFonts w:ascii="仿宋" w:hAnsi="仿宋" w:eastAsia="仿宋" w:cs="仿宋"/>
          <w:sz w:val="31"/>
          <w:szCs w:val="31"/>
        </w:rPr>
      </w:pPr>
      <w:r>
        <w:rPr>
          <w:rFonts w:ascii="仿宋" w:hAnsi="仿宋" w:eastAsia="仿宋" w:cs="仿宋"/>
          <w:spacing w:val="-1"/>
          <w:sz w:val="31"/>
          <w:szCs w:val="31"/>
        </w:rPr>
        <w:t>Einrichtung von Niederlassungen in einigen Provinzen und Städten rund um relevante lokale Schlüsselentwicklungsgebiete und industrielle Entwicklungsrichtungen sowie Durchführung von Themenforen, Projektförderungstreffen, Talentaustauschtreffen und speziellen Themen</w:t>
      </w:r>
    </w:p>
    <w:p>
      <w:pPr>
        <w:sectPr>
          <w:footerReference r:id="rId6" w:type="default"/>
          <w:pgSz w:w="11906" w:h="16839"/>
          <w:pgMar w:top="400" w:right="1598" w:bottom="1876" w:left="1597" w:header="0" w:footer="1716" w:gutter="0"/>
          <w:cols w:space="720" w:num="1"/>
        </w:sect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101" w:line="333" w:lineRule="auto"/>
        <w:ind w:left="15" w:right="102" w:hanging="6"/>
        <w:rPr>
          <w:rFonts w:ascii="楷体" w:hAnsi="楷体" w:eastAsia="楷体" w:cs="楷体"/>
          <w:sz w:val="31"/>
          <w:szCs w:val="31"/>
        </w:rPr>
      </w:pPr>
      <w:r>
        <w:rPr>
          <w:rFonts w:ascii="仿宋" w:hAnsi="仿宋" w:eastAsia="仿宋" w:cs="仿宋"/>
          <w:spacing w:val="-10"/>
          <w:sz w:val="31"/>
          <w:szCs w:val="31"/>
        </w:rPr>
        <w:t>Aktivitäten wie Schulung, Inspektion und Beratung dienen der lokalen wirtschaftlichen und sozialen Entwicklung Organisiert vom China International Talent Exchange Center, relevanten Provinzen und Kommunen Wissenschaft und Technologie Abteilungen (Gremien, Büros), durchgeführt vom Shenzhen International Talent Exchange Center und relevanten kooperativen Einheiten</w:t>
      </w:r>
    </w:p>
    <w:p>
      <w:pPr>
        <w:spacing w:before="1" w:line="230" w:lineRule="auto"/>
        <w:ind w:left="653"/>
        <w:rPr>
          <w:rFonts w:ascii="楷体" w:hAnsi="楷体" w:eastAsia="楷体" w:cs="楷体"/>
          <w:sz w:val="31"/>
          <w:szCs w:val="31"/>
        </w:rPr>
      </w:pPr>
      <w:r>
        <w:rPr>
          <w:rFonts w:ascii="楷体" w:hAnsi="楷体" w:eastAsia="楷体" w:cs="楷体"/>
          <w:spacing w:val="14"/>
          <w:sz w:val="31"/>
          <w:szCs w:val="31"/>
        </w:rPr>
        <w:t>(2) Übersee Talent Reisen nach China</w:t>
      </w:r>
    </w:p>
    <w:p>
      <w:pPr>
        <w:spacing w:before="165" w:line="334" w:lineRule="auto"/>
        <w:ind w:left="4" w:firstLine="650"/>
        <w:rPr>
          <w:rFonts w:ascii="楷体" w:hAnsi="楷体" w:eastAsia="楷体" w:cs="楷体"/>
          <w:sz w:val="31"/>
          <w:szCs w:val="31"/>
        </w:rPr>
      </w:pPr>
      <w:r>
        <w:rPr>
          <w:rFonts w:ascii="仿宋" w:hAnsi="仿宋" w:eastAsia="仿宋" w:cs="仿宋"/>
          <w:spacing w:val="-1"/>
          <w:sz w:val="31"/>
          <w:szCs w:val="31"/>
        </w:rPr>
        <w:t>Wir konzentrieren uns auf die Förderung technologischer Innovationen, um eine Schlüsselrolle in einem reibungslosen Kreislauf zu spielen, geleitet von Themen und Marktnachfrage, konzentrieren uns auf Grundlagenforschung, angewandte Forschung, sowie wichtige Themen, heiße Themen und industrielle Entwicklungsbedürfnisse in der wirtschaftlichen und sozialen Entwicklung, organisieren kleine, mehrere Batches und präzise Aktivitäten basierend auf der tatsächlichen Situation unserer kooperativen Einheiten und laden ausländische Experten und Wissenschaftler mit verschiedenen akademischen und technischen Hintergründen ein Der Technologieinhaber führt intensiven Austausch mit chinesischen kooperierenden Einheiten Geleitet von relevanten Abteilungen des Ministeriums für Wissenschaft und Technologie, durchgeführt vom China International Talent Exchange Center, Shenzhen International Talent Exchange Center und relevanten kooperativen Einheiten</w:t>
      </w:r>
    </w:p>
    <w:p>
      <w:pPr>
        <w:spacing w:line="228" w:lineRule="auto"/>
        <w:ind w:left="653"/>
        <w:rPr>
          <w:rFonts w:ascii="楷体" w:hAnsi="楷体" w:eastAsia="楷体" w:cs="楷体"/>
          <w:sz w:val="31"/>
          <w:szCs w:val="31"/>
        </w:rPr>
      </w:pPr>
      <w:r>
        <w:rPr>
          <w:rFonts w:ascii="楷体" w:hAnsi="楷体" w:eastAsia="楷体" w:cs="楷体"/>
          <w:spacing w:val="16"/>
          <w:sz w:val="31"/>
          <w:szCs w:val="31"/>
        </w:rPr>
        <w:t>(3) Serviceaktion für Diplomaten aus Wissenschaft und Technologie</w:t>
      </w:r>
    </w:p>
    <w:p>
      <w:pPr>
        <w:spacing w:before="180" w:line="333" w:lineRule="auto"/>
        <w:ind w:left="11" w:right="100" w:firstLine="621"/>
        <w:rPr>
          <w:rFonts w:ascii="楷体" w:hAnsi="楷体" w:eastAsia="楷体" w:cs="楷体"/>
          <w:sz w:val="31"/>
          <w:szCs w:val="31"/>
        </w:rPr>
      </w:pPr>
      <w:r>
        <w:rPr>
          <w:rFonts w:ascii="仿宋" w:hAnsi="仿宋" w:eastAsia="仿宋" w:cs="仿宋"/>
          <w:spacing w:val="1"/>
          <w:sz w:val="31"/>
          <w:szCs w:val="31"/>
        </w:rPr>
        <w:t>Einige Wissenschafts- und Technologiediplomaten von Botschaften und Konsulaten im Ausland einladen, Forschungs- und Austauschaktivitäten in einigen Provinzen, Regionen und Städten in China basierend auf der epidemischen Situation durchzuführen, die aktuelle Situation von Wissenschaft und Technologie Innovation und Talentaustausch im Gastland vorzustellen und Vorschläge für lokale Wissenschaft und Technologie Behörden, Unternehmen und Institutionen zur Durchführung internationaler Zusammenarbeit vorzulegen Von den zuständigen Abteilungen und Büros des Ministeriums für Wissenschaft und Technologie durchgeführt und von den zuständigen Provinzen, regionalen und kommunalen Wissenschafts- und Technologieabteilungen (Komitees, Büros) sowie Shenzhen International Talent Exchange Center durchgeführt</w:t>
      </w:r>
    </w:p>
    <w:p>
      <w:pPr>
        <w:spacing w:before="1" w:line="229" w:lineRule="auto"/>
        <w:ind w:left="653"/>
        <w:rPr>
          <w:rFonts w:ascii="楷体" w:hAnsi="楷体" w:eastAsia="楷体" w:cs="楷体"/>
          <w:sz w:val="31"/>
          <w:szCs w:val="31"/>
        </w:rPr>
      </w:pPr>
      <w:r>
        <w:rPr>
          <w:rFonts w:ascii="楷体" w:hAnsi="楷体" w:eastAsia="楷体" w:cs="楷体"/>
          <w:spacing w:val="12"/>
          <w:sz w:val="31"/>
          <w:szCs w:val="31"/>
        </w:rPr>
        <w:t>(4) Der sechste internationale Wettbewerb des Shenzhen Innovation and Entrepreneurship Competition in China</w:t>
      </w:r>
    </w:p>
    <w:p>
      <w:pPr>
        <w:spacing w:before="176" w:line="338" w:lineRule="auto"/>
        <w:ind w:right="100" w:firstLine="655"/>
        <w:rPr>
          <w:rFonts w:ascii="仿宋" w:hAnsi="仿宋" w:eastAsia="仿宋" w:cs="仿宋"/>
          <w:sz w:val="31"/>
          <w:szCs w:val="31"/>
        </w:rPr>
      </w:pPr>
      <w:r>
        <w:rPr>
          <w:rFonts w:ascii="仿宋" w:hAnsi="仿宋" w:eastAsia="仿宋" w:cs="仿宋"/>
          <w:spacing w:val="-1"/>
          <w:sz w:val="31"/>
          <w:szCs w:val="31"/>
        </w:rPr>
        <w:t>Wir werden Branchenwettbewerbe in Branchen wie der neuen Generation elektronischer Informationen, Digital und Mode, High-End-Geräteherstellung, grünen und kohlenstoffarmen, neuen Materialien, Biopharmazeutika und Gesundheit und Meereswirtschaft im Ausland abhalten und die Finale in Shenzhen halten.</w:t>
      </w:r>
    </w:p>
    <w:p>
      <w:pPr>
        <w:sectPr>
          <w:footerReference r:id="rId7" w:type="default"/>
          <w:pgSz w:w="11906" w:h="16839"/>
          <w:pgMar w:top="400" w:right="1495" w:bottom="1876" w:left="1595" w:header="0" w:footer="1716" w:gutter="0"/>
          <w:cols w:space="720" w:num="1"/>
        </w:sect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101" w:line="332" w:lineRule="auto"/>
        <w:ind w:left="649" w:hanging="649"/>
        <w:rPr>
          <w:rFonts w:ascii="楷体" w:hAnsi="楷体" w:eastAsia="楷体" w:cs="楷体"/>
          <w:sz w:val="31"/>
          <w:szCs w:val="31"/>
        </w:rPr>
      </w:pPr>
      <w:r>
        <w:rPr>
          <w:rFonts w:ascii="仿宋" w:hAnsi="仿宋" w:eastAsia="仿宋" w:cs="仿宋"/>
          <w:spacing w:val="-28"/>
          <w:sz w:val="31"/>
          <w:szCs w:val="31"/>
        </w:rPr>
        <w:t>Boden Gefördert von der Stadtverwaltung von Shenzhen und durchgeführt vom Shenzhen Human Resources Security Bureau und den zuständigen Bezirksregierungen. (5) Shenzhen Venture Capital Day</w:t>
      </w:r>
    </w:p>
    <w:p>
      <w:pPr>
        <w:spacing w:before="9" w:line="333" w:lineRule="auto"/>
        <w:ind w:left="3" w:right="42" w:firstLine="620"/>
        <w:rPr>
          <w:rFonts w:ascii="楷体" w:hAnsi="楷体" w:eastAsia="楷体" w:cs="楷体"/>
          <w:sz w:val="31"/>
          <w:szCs w:val="31"/>
        </w:rPr>
      </w:pPr>
      <w:r>
        <w:rPr>
          <w:rFonts w:ascii="仿宋" w:hAnsi="仿宋" w:eastAsia="仿宋" w:cs="仿宋"/>
          <w:spacing w:val="-10"/>
          <w:sz w:val="31"/>
          <w:szCs w:val="31"/>
        </w:rPr>
        <w:t>Arbeiten Sie mit der Marke "Shenzhen Venture Capital Day" zusammen, um während der Konferenz ein spezielles Themenereignis zu erstellen, eine offene Sharing-Plattform mit strategischer Perspektive zu schaffen, Online- und Offline-Projektdocking- und Roadshow-Aktivitäten für verschiedene Branchen und Unternehmen in verschiedenen Entwicklungsphasen zu organisieren und zu planen, und arbeiten Sie mit der Technologie- und Finanzzone zusammen, um die Ressourcennutzungsfähigkeit von Shenzhen-Regierungsleitungsfonds und verschiedenen Masterfonds zu verbessern. Bauen Sie Shenzhen in ein fruchtbares Land für die Entwicklung von Risikokapital, Unternehmertum und Kapital Sponsored by Shenzhen Local Financial Supervision Bureau, Shenzhen Science and Technology Innovation Commission, Shenzhen Industry and Information Technology Bureau, Shenzhen Stock Exchange, Shenzhen Nanshan District Government, Shenzhen Stock Exchange Science and Technology Achievements and Intellectual Property Trading Center, Shenzhen Guiding Fund Investment Co., Ltd., Shenzhen Angel Mother Fund Management Company, Shenzhen Radio and Television Group und New Wealth Undertaking]</w:t>
      </w:r>
    </w:p>
    <w:p>
      <w:pPr>
        <w:spacing w:before="1" w:line="239" w:lineRule="auto"/>
        <w:ind w:left="632"/>
        <w:rPr>
          <w:rFonts w:ascii="黑体" w:hAnsi="黑体" w:eastAsia="黑体" w:cs="黑体"/>
          <w:sz w:val="31"/>
          <w:szCs w:val="31"/>
        </w:rPr>
      </w:pPr>
      <w:r>
        <w:rPr>
          <w:rFonts w:ascii="黑体" w:hAnsi="黑体" w:eastAsia="黑体" w:cs="黑体"/>
          <w:spacing w:val="-2"/>
          <w:sz w:val="31"/>
          <w:szCs w:val="31"/>
        </w:rPr>
        <w:t>5,5,Kostenstandard</w:t>
      </w:r>
    </w:p>
    <w:p>
      <w:pPr>
        <w:spacing w:before="158" w:line="333" w:lineRule="auto"/>
        <w:ind w:left="16" w:right="150" w:firstLine="604"/>
        <w:rPr>
          <w:rFonts w:ascii="仿宋" w:hAnsi="仿宋" w:eastAsia="仿宋" w:cs="仿宋"/>
          <w:sz w:val="31"/>
          <w:szCs w:val="31"/>
        </w:rPr>
      </w:pPr>
      <w:r>
        <w:rPr>
          <w:rFonts w:ascii="仿宋" w:hAnsi="仿宋" w:eastAsia="仿宋" w:cs="仿宋"/>
          <w:spacing w:val="1"/>
          <w:sz w:val="31"/>
          <w:szCs w:val="31"/>
        </w:rPr>
        <w:t>Entwickeln Sie Pläne basierend auf den tatsächlichen Bedürfnissen jeder Provinz, Bezirk und Stadt. Für Details wenden Sie sich bitte an die Beijing Working Group des Organisationskomitees der Konferenz.</w:t>
      </w:r>
    </w:p>
    <w:p>
      <w:pPr>
        <w:spacing w:before="1" w:line="232" w:lineRule="auto"/>
        <w:ind w:left="634"/>
        <w:rPr>
          <w:rFonts w:ascii="黑体" w:hAnsi="黑体" w:eastAsia="黑体" w:cs="黑体"/>
          <w:sz w:val="31"/>
          <w:szCs w:val="31"/>
        </w:rPr>
      </w:pPr>
      <w:r>
        <w:rPr>
          <w:rFonts w:ascii="黑体" w:hAnsi="黑体" w:eastAsia="黑体" w:cs="黑体"/>
          <w:spacing w:val="-2"/>
          <w:sz w:val="31"/>
          <w:szCs w:val="31"/>
        </w:rPr>
        <w:t>6,Kontaktinformationen</w:t>
      </w:r>
    </w:p>
    <w:p>
      <w:pPr>
        <w:spacing w:before="171" w:line="225" w:lineRule="auto"/>
        <w:ind w:left="624"/>
        <w:rPr>
          <w:rFonts w:ascii="仿宋" w:hAnsi="仿宋" w:eastAsia="仿宋" w:cs="仿宋"/>
          <w:sz w:val="31"/>
          <w:szCs w:val="31"/>
        </w:rPr>
      </w:pPr>
      <w:r>
        <w:rPr>
          <w:rFonts w:ascii="仿宋" w:hAnsi="仿宋" w:eastAsia="仿宋" w:cs="仿宋"/>
          <w:spacing w:val="1"/>
          <w:sz w:val="31"/>
          <w:szCs w:val="31"/>
        </w:rPr>
        <w:t>Ansprechpartner: Wang Yang, Guo Yan</w:t>
      </w:r>
    </w:p>
    <w:p>
      <w:pPr>
        <w:spacing w:before="182" w:line="223" w:lineRule="auto"/>
        <w:ind w:left="661"/>
        <w:rPr>
          <w:rFonts w:ascii="Times New Roman" w:hAnsi="Times New Roman" w:eastAsia="Times New Roman" w:cs="Times New Roman"/>
          <w:sz w:val="31"/>
          <w:szCs w:val="31"/>
        </w:rPr>
      </w:pPr>
      <w:r>
        <w:rPr>
          <w:rFonts w:ascii="仿宋" w:hAnsi="仿宋" w:eastAsia="仿宋" w:cs="仿宋"/>
          <w:spacing w:val="-1"/>
          <w:sz w:val="31"/>
          <w:szCs w:val="31"/>
        </w:rPr>
        <w:t>Tel.: 010-5882487, 010-5882132</w:t>
      </w:r>
    </w:p>
    <w:p>
      <w:pPr>
        <w:spacing w:before="126" w:line="429" w:lineRule="exact"/>
        <w:ind w:left="637"/>
        <w:rPr>
          <w:rFonts w:ascii="Times New Roman" w:hAnsi="Times New Roman" w:eastAsia="Times New Roman" w:cs="Times New Roman"/>
          <w:sz w:val="31"/>
          <w:szCs w:val="31"/>
        </w:rPr>
      </w:pPr>
      <w:r>
        <w:rPr>
          <w:rFonts w:ascii="仿宋" w:hAnsi="仿宋" w:eastAsia="仿宋" w:cs="仿宋"/>
          <w:spacing w:val="-2"/>
          <w:position w:val="4"/>
          <w:sz w:val="31"/>
          <w:szCs w:val="31"/>
        </w:rPr>
        <w:t>Email: wangyang@ciep.gov.cn</w:t>
      </w:r>
    </w:p>
    <w:p>
      <w:pPr>
        <w:spacing w:before="133" w:line="429" w:lineRule="exact"/>
        <w:ind w:left="1864"/>
        <w:rPr>
          <w:rFonts w:ascii="Times New Roman" w:hAnsi="Times New Roman" w:eastAsia="Times New Roman" w:cs="Times New Roman"/>
          <w:sz w:val="31"/>
          <w:szCs w:val="31"/>
        </w:rPr>
      </w:pPr>
      <w:r>
        <w:rPr>
          <w:rFonts w:ascii="Times New Roman" w:hAnsi="Times New Roman" w:eastAsia="Times New Roman" w:cs="Times New Roman"/>
          <w:spacing w:val="-1"/>
          <w:position w:val="5"/>
          <w:sz w:val="31"/>
          <w:szCs w:val="31"/>
        </w:rPr>
        <w:t>guoyan@ciep.gov.cn</w:t>
      </w:r>
    </w:p>
    <w:p>
      <w:pPr>
        <w:sectPr>
          <w:footerReference r:id="rId8" w:type="default"/>
          <w:pgSz w:w="11906" w:h="16839"/>
          <w:pgMar w:top="400" w:right="1450" w:bottom="1876" w:left="1598" w:header="0" w:footer="1716" w:gutter="0"/>
          <w:cols w:space="720" w:num="1"/>
        </w:sectPr>
      </w:pPr>
    </w:p>
    <w:p/>
    <w:sectPr>
      <w:footerReference r:id="rId9"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31"/>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27"/>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29"/>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25"/>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379"/>
      <w:rPr>
        <w:rFonts w:ascii="Times New Roman" w:hAnsi="Times New Roman" w:eastAsia="Times New Roman" w:cs="Times New Roman"/>
        <w:sz w:val="17"/>
        <w:szCs w:val="17"/>
      </w:rPr>
    </w:pPr>
    <w:r>
      <w:rPr>
        <w:rFonts w:ascii="Times New Roman" w:hAnsi="Times New Roman" w:eastAsia="Times New Roman" w:cs="Times New Roman"/>
        <w:sz w:val="17"/>
        <w:szCs w:val="17"/>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2ZTIxYjNiNzUxMzkxMjQ2MDcyZTczMmJmZTI1ODcifQ=="/>
  </w:docVars>
  <w:rsids>
    <w:rsidRoot w:val="145768B3"/>
    <w:rsid w:val="080C528C"/>
    <w:rsid w:val="08B60D54"/>
    <w:rsid w:val="0DE819AF"/>
    <w:rsid w:val="145768B3"/>
    <w:rsid w:val="251E0AED"/>
    <w:rsid w:val="2802614E"/>
    <w:rsid w:val="4EBB043F"/>
    <w:rsid w:val="54E3249D"/>
    <w:rsid w:val="6A933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2023-03-27T09:38:00Z</dcterms:created>
  <dc:creator>会开小飞机~滴贝塔</dc:creator>
  <cp:lastModifiedBy>会开小飞机~滴贝塔</cp:lastModifiedBy>
  <dcterms:modified xsi:type="dcterms:W3CDTF">2023-03-27T09:42:16Z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4C365654A4314CC0B9322ECDF079E133</vt:lpwstr>
  </property>
</Properties>
</file>