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1" w:lineRule="auto"/>
        <w:ind w:left="1844" w:right="1190" w:hanging="658"/>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Implementierungsplan für die Ausstellungs- und Verhandlungsabteilung der 21st China International Talent Exchange Conference</w:t>
      </w:r>
    </w:p>
    <w:bookmarkEnd w:id="0"/>
    <w:p>
      <w:pPr>
        <w:spacing w:line="377" w:lineRule="auto"/>
        <w:rPr>
          <w:rFonts w:ascii="Arial"/>
          <w:sz w:val="21"/>
        </w:rPr>
      </w:pPr>
    </w:p>
    <w:p>
      <w:pPr>
        <w:spacing w:before="101" w:line="334" w:lineRule="auto"/>
        <w:ind w:firstLine="621"/>
        <w:rPr>
          <w:rFonts w:ascii="仿宋" w:hAnsi="仿宋" w:eastAsia="仿宋" w:cs="仿宋"/>
          <w:sz w:val="31"/>
          <w:szCs w:val="31"/>
        </w:rPr>
      </w:pPr>
      <w:r>
        <w:rPr>
          <w:rFonts w:ascii="仿宋" w:hAnsi="仿宋" w:eastAsia="仿宋" w:cs="仿宋"/>
          <w:spacing w:val="-10"/>
          <w:sz w:val="31"/>
          <w:szCs w:val="31"/>
        </w:rPr>
        <w:t>Gemäß dem Gesamtarbeitsplan der 21st China International Talent Exchange Conference konzentriert sich die Konferenz auf die angebotsseitige Strukturreform als Hauptthema und konzentriert sich auf den Aufbau einer innovativen ökologischen Kette, die "Grundlagenforschung+technologische Durchbrüche+Industrialisierung von Errungenschaften+Technologie Finance+Talent Support" dient. Durch die Einrichtung von Ausstellungsflächen mit verschiedenen Themen und Funktionen organisiert und führt die Konferenz "Enthüllungsaktivitäten" durch und veranstaltet verschiedene Promotions- und Austauschaktivitäten vor Ort. Während wir die aktuelle Situation und die Aussichten von Chinas internationalem Innovationsökosystem Bau in mehreren Dimensionen zeigen, werden wir die Zusammenarbeit, den Austausch und Transaktionen zwischen in- und ausländischen Ausstellern in Talenten, Projekten, Technologien, Produkten und Dienstleistungen fördern, mit dem Ziel, die Sammlung von globalen wissenschaftlichen und technologischen Innovationsressourcenelementen kontinuierlich zu stärken, die Anziehungskraft internationaler Talente zu erhöhen und die Effizienz und das Niveau des Dienstleistungsaufbaus eines neuen Entwicklungsmusters auf der Grundlage der Integration und gegenseitigen Förderung zu verbessern.</w:t>
      </w:r>
    </w:p>
    <w:p>
      <w:pPr>
        <w:spacing w:line="513" w:lineRule="exact"/>
        <w:ind w:left="630"/>
        <w:rPr>
          <w:rFonts w:ascii="黑体" w:hAnsi="黑体" w:eastAsia="黑体" w:cs="黑体"/>
          <w:sz w:val="31"/>
          <w:szCs w:val="31"/>
        </w:rPr>
      </w:pPr>
      <w:r>
        <w:rPr>
          <w:rFonts w:ascii="黑体" w:hAnsi="黑体" w:eastAsia="黑体" w:cs="黑体"/>
          <w:spacing w:val="-1"/>
          <w:position w:val="4"/>
          <w:sz w:val="31"/>
          <w:szCs w:val="31"/>
        </w:rPr>
        <w:t>1,Zeit und Ort</w:t>
      </w:r>
    </w:p>
    <w:p>
      <w:pPr>
        <w:spacing w:before="47" w:line="559" w:lineRule="exact"/>
        <w:ind w:left="655"/>
        <w:rPr>
          <w:rFonts w:ascii="仿宋" w:hAnsi="仿宋" w:eastAsia="仿宋" w:cs="仿宋"/>
          <w:sz w:val="31"/>
          <w:szCs w:val="31"/>
        </w:rPr>
      </w:pPr>
      <w:r>
        <w:rPr>
          <w:rFonts w:ascii="仿宋" w:hAnsi="仿宋" w:eastAsia="仿宋" w:cs="仿宋"/>
          <w:spacing w:val="-15"/>
          <w:position w:val="18"/>
          <w:sz w:val="31"/>
          <w:szCs w:val="31"/>
        </w:rPr>
        <w:t>Zeit: April 15-16, 2023</w:t>
      </w:r>
    </w:p>
    <w:p>
      <w:pPr>
        <w:spacing w:before="1" w:line="223" w:lineRule="auto"/>
        <w:ind w:left="622"/>
        <w:rPr>
          <w:rFonts w:ascii="仿宋" w:hAnsi="仿宋" w:eastAsia="仿宋" w:cs="仿宋"/>
          <w:sz w:val="31"/>
          <w:szCs w:val="31"/>
        </w:rPr>
      </w:pPr>
      <w:r>
        <w:rPr>
          <w:rFonts w:ascii="仿宋" w:hAnsi="仿宋" w:eastAsia="仿宋" w:cs="仿宋"/>
          <w:spacing w:val="1"/>
          <w:sz w:val="31"/>
          <w:szCs w:val="31"/>
        </w:rPr>
        <w:t>Location: Shenzhen Convention and Exhibition Center</w:t>
      </w:r>
    </w:p>
    <w:p>
      <w:pPr>
        <w:spacing w:before="184" w:line="416" w:lineRule="exact"/>
        <w:ind w:left="630"/>
        <w:rPr>
          <w:rFonts w:ascii="黑体" w:hAnsi="黑体" w:eastAsia="黑体" w:cs="黑体"/>
          <w:sz w:val="31"/>
          <w:szCs w:val="31"/>
        </w:rPr>
      </w:pPr>
      <w:r>
        <w:rPr>
          <w:rFonts w:ascii="黑体" w:hAnsi="黑体" w:eastAsia="黑体" w:cs="黑体"/>
          <w:spacing w:val="-1"/>
          <w:position w:val="2"/>
          <w:sz w:val="31"/>
          <w:szCs w:val="31"/>
        </w:rPr>
        <w:t>2,Hauptinhalt</w:t>
      </w:r>
    </w:p>
    <w:p>
      <w:pPr>
        <w:spacing w:before="143" w:line="229" w:lineRule="auto"/>
        <w:ind w:left="650"/>
        <w:rPr>
          <w:rFonts w:ascii="楷体" w:hAnsi="楷体" w:eastAsia="楷体" w:cs="楷体"/>
          <w:sz w:val="31"/>
          <w:szCs w:val="31"/>
        </w:rPr>
      </w:pPr>
      <w:r>
        <w:rPr>
          <w:rFonts w:ascii="楷体" w:hAnsi="楷体" w:eastAsia="楷体" w:cs="楷体"/>
          <w:spacing w:val="12"/>
          <w:sz w:val="31"/>
          <w:szCs w:val="31"/>
        </w:rPr>
        <w:t>(1) Internationale Ausstellungshalle für Innovation und Talentaustausch in Wissenschaft und Technologie</w:t>
      </w:r>
    </w:p>
    <w:p>
      <w:pPr>
        <w:spacing w:before="177" w:line="222" w:lineRule="auto"/>
        <w:ind w:left="634"/>
        <w:outlineLvl w:val="0"/>
        <w:rPr>
          <w:rFonts w:ascii="仿宋" w:hAnsi="仿宋" w:eastAsia="仿宋" w:cs="仿宋"/>
          <w:sz w:val="31"/>
          <w:szCs w:val="31"/>
        </w:rPr>
      </w:pPr>
      <w:r>
        <w:rPr>
          <w:rFonts w:ascii="Times New Roman" w:hAnsi="Times New Roman" w:eastAsia="Times New Roman" w:cs="Times New Roman"/>
          <w:b/>
          <w:bCs/>
          <w:spacing w:val="-1"/>
          <w:sz w:val="31"/>
          <w:szCs w:val="31"/>
        </w:rPr>
        <w:t>1. Ausstellungsbereich des Ministeriums für Wissenschaft und Technologie</w:t>
      </w:r>
    </w:p>
    <w:p>
      <w:pPr>
        <w:spacing w:before="188" w:line="222" w:lineRule="auto"/>
        <w:ind w:left="669"/>
        <w:rPr>
          <w:rFonts w:ascii="仿宋" w:hAnsi="仿宋" w:eastAsia="仿宋" w:cs="仿宋"/>
          <w:sz w:val="31"/>
          <w:szCs w:val="31"/>
        </w:rPr>
      </w:pPr>
      <w:r>
        <w:rPr>
          <w:rFonts w:ascii="仿宋" w:hAnsi="仿宋" w:eastAsia="仿宋" w:cs="仿宋"/>
          <w:spacing w:val="23"/>
          <w:sz w:val="31"/>
          <w:szCs w:val="31"/>
        </w:rPr>
        <w:t>Mit dem Thema "Kräftige Fortschritte in der Neuen Ära und Aufbau eines Weltwissenschafts- und Technologiestarken Landes</w:t>
      </w:r>
    </w:p>
    <w:p>
      <w:pPr>
        <w:sectPr>
          <w:footerReference r:id="rId5" w:type="default"/>
          <w:pgSz w:w="11906" w:h="16839"/>
          <w:pgMar w:top="400" w:right="1466" w:bottom="1876" w:left="1597"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101" w:line="334" w:lineRule="auto"/>
        <w:ind w:left="10" w:hanging="9"/>
        <w:rPr>
          <w:rFonts w:ascii="仿宋" w:hAnsi="仿宋" w:eastAsia="仿宋" w:cs="仿宋"/>
          <w:sz w:val="31"/>
          <w:szCs w:val="31"/>
        </w:rPr>
      </w:pPr>
      <w:r>
        <w:rPr>
          <w:rFonts w:ascii="仿宋" w:hAnsi="仿宋" w:eastAsia="仿宋" w:cs="仿宋"/>
          <w:spacing w:val="10"/>
          <w:sz w:val="31"/>
          <w:szCs w:val="31"/>
        </w:rPr>
        <w:t>Die zehnjährige Science and Technology Innovation Achievement Exhibition (2012-2022) konzentriert sich auf die Präsentation der großen Errungenschaften und bedeutenden Errungenschaften von Chinas Wissenschaft und Technologie Innovation in den letzten zehn Jahren, indem Ausstellungselemente wie Bilder, physische Objekte und Modelle verwendet werden.</w:t>
      </w:r>
    </w:p>
    <w:p>
      <w:pPr>
        <w:spacing w:line="334" w:lineRule="auto"/>
        <w:ind w:left="12" w:right="86" w:hanging="13"/>
        <w:rPr>
          <w:rFonts w:ascii="楷体" w:hAnsi="楷体" w:eastAsia="楷体" w:cs="楷体"/>
          <w:sz w:val="31"/>
          <w:szCs w:val="31"/>
        </w:rPr>
      </w:pPr>
      <w:r>
        <w:rPr>
          <w:rFonts w:ascii="楷体" w:hAnsi="楷体" w:eastAsia="楷体" w:cs="楷体"/>
          <w:spacing w:val="6"/>
          <w:sz w:val="31"/>
          <w:szCs w:val="31"/>
        </w:rPr>
        <w:t>Geleitet von relevanten Abteilungen und Zentren des Ministeriums für Wissenschaft und Technologie. Unterstützt durch die Wissenschafts- und Technologieabteilungen (Komitees, Büros) verschiedener Provinzen, autonomer Regionen, speziell im Staatsplan benannten Städte und stellvertretender Provinzstädte, durchgeführt durch das Servicezentrum des Ministeriums für Wissenschaft und Technologie</w:t>
      </w:r>
    </w:p>
    <w:p>
      <w:pPr>
        <w:spacing w:line="222" w:lineRule="auto"/>
        <w:ind w:left="626"/>
        <w:outlineLvl w:val="0"/>
        <w:rPr>
          <w:rFonts w:ascii="仿宋" w:hAnsi="仿宋" w:eastAsia="仿宋" w:cs="仿宋"/>
          <w:sz w:val="31"/>
          <w:szCs w:val="31"/>
        </w:rPr>
      </w:pPr>
      <w:r>
        <w:rPr>
          <w:rFonts w:ascii="Times New Roman" w:hAnsi="Times New Roman" w:eastAsia="Times New Roman" w:cs="Times New Roman"/>
          <w:b/>
          <w:bCs/>
          <w:spacing w:val="-10"/>
          <w:sz w:val="31"/>
          <w:szCs w:val="31"/>
        </w:rPr>
        <w:t>2. Ausstellungsfläche für koordinierte regionale Entwicklung</w:t>
      </w:r>
    </w:p>
    <w:p>
      <w:pPr>
        <w:spacing w:before="179" w:line="334" w:lineRule="auto"/>
        <w:ind w:left="6" w:right="81" w:firstLine="667"/>
        <w:rPr>
          <w:rFonts w:ascii="仿宋" w:hAnsi="仿宋" w:eastAsia="仿宋" w:cs="仿宋"/>
          <w:sz w:val="31"/>
          <w:szCs w:val="31"/>
        </w:rPr>
      </w:pPr>
      <w:r>
        <w:rPr>
          <w:rFonts w:ascii="仿宋" w:hAnsi="仿宋" w:eastAsia="仿宋" w:cs="仿宋"/>
          <w:spacing w:val="8"/>
          <w:sz w:val="31"/>
          <w:szCs w:val="31"/>
        </w:rPr>
        <w:t>Mit dem Ziel, sowohl inländische als auch ausländische Märkte und Ressourcen vollständig zu nutzen und die regionale Entwicklungskoordination zu verbessern, werden wir die koordinierte Entwicklung der Beijing Tianjin Hebei Region, die Integration des Yangtze Flussdeltas und die Entwicklung des Yangtze Fluss Wirtschaftsgürtels, den Bau der Guangdong Hong Kong Macao Greater Bay Area, den Bau des Chengdu Chongqing dualen städtischen Wirtschaftskreises und den Bau einer sozialistischen Demonstrationszone mit chinesischen Eigenschaften fördern. Förderung des beschleunigten Aufstiegs der zentralen Region und Ermutigung der östlichen Region zur Beschleunigung der Modernisierung. Basierend auf dem Bau von weltweit wichtigen Talentzentren und Innovationshochländern in Peking, Shanghai, der Guangdong Hong Kong Macao Greater Bay Area und Wuhan, erforschen Sie den Bau von "3+N" High-Level Talent Highlands, ziehen und sammeln Talentplattformen und streben Sie danach, einen neuen Wachstumspol zu schaffen.</w:t>
      </w:r>
    </w:p>
    <w:p>
      <w:pPr>
        <w:spacing w:before="3" w:line="333" w:lineRule="auto"/>
        <w:ind w:left="6" w:right="7" w:firstLine="625"/>
        <w:rPr>
          <w:rFonts w:ascii="仿宋" w:hAnsi="仿宋" w:eastAsia="仿宋" w:cs="仿宋"/>
          <w:sz w:val="31"/>
          <w:szCs w:val="31"/>
        </w:rPr>
      </w:pPr>
      <w:r>
        <w:rPr>
          <w:rFonts w:ascii="仿宋" w:hAnsi="仿宋" w:eastAsia="仿宋" w:cs="仿宋"/>
          <w:spacing w:val="6"/>
          <w:sz w:val="31"/>
          <w:szCs w:val="31"/>
        </w:rPr>
        <w:t>Der Ausstellungsbereich soll Regierungs- und Unternehmensbereiche umfassen. Unter ihnen konzentriert sich die Regierungsregion auf die Präsentation der relevanten Politiken, Plattformen, Dienstleistungen und anderer internationaler Innovationsumweltbauinhalte in der lokalen Region. Die Unternehmensregion wird von jeder Provinz, jedem Bezirk und jeder Stadt ausgewählt, um zehn repräsentative Unternehmen aus der lokalen Region einzuladen, Technologie, Errungenschaften und Produkte für die Vor-Ort-Anzeige und den Handel zu tragen, umfassend das Niveau der industriellen Entwicklung und den Stil der Schlüsselunternehmen in der Region zu zeigen, Talentsammlung anzuziehen, Kommunikation und Zusammenarbeit zu vertiefen und Ausstellung und Integration zu fördern. Wenn die Bedingungen es zulassen, kann eine Talent-Recruiting-Plattform eingerichtet werden, die Unternehmen eine Plattform zur Rekrutierung inländischer und ausländischer Talente bietet.</w:t>
      </w:r>
    </w:p>
    <w:p>
      <w:pPr>
        <w:spacing w:before="1" w:line="231" w:lineRule="auto"/>
        <w:ind w:left="615"/>
        <w:rPr>
          <w:rFonts w:ascii="楷体" w:hAnsi="楷体" w:eastAsia="楷体" w:cs="楷体"/>
          <w:sz w:val="31"/>
          <w:szCs w:val="31"/>
        </w:rPr>
      </w:pPr>
      <w:r>
        <w:rPr>
          <w:rFonts w:ascii="Times New Roman" w:hAnsi="Times New Roman" w:eastAsia="Times New Roman" w:cs="Times New Roman"/>
          <w:spacing w:val="-6"/>
          <w:sz w:val="31"/>
          <w:szCs w:val="31"/>
        </w:rPr>
        <w:t>--Der koordinierte Entwicklungssektor von Peking Tianjin Hebei Peking, Tianjin, Hebei Wissenschafts- und Technologieabteilung (Ausschuss)</w:t>
      </w:r>
    </w:p>
    <w:p>
      <w:pPr>
        <w:spacing w:before="171" w:line="231" w:lineRule="auto"/>
        <w:ind w:left="3"/>
        <w:rPr>
          <w:rFonts w:ascii="楷体" w:hAnsi="楷体" w:eastAsia="楷体" w:cs="楷体"/>
          <w:sz w:val="31"/>
          <w:szCs w:val="31"/>
        </w:rPr>
      </w:pPr>
      <w:r>
        <w:rPr>
          <w:rFonts w:ascii="楷体" w:hAnsi="楷体" w:eastAsia="楷体" w:cs="楷体"/>
          <w:spacing w:val="1"/>
          <w:sz w:val="31"/>
          <w:szCs w:val="31"/>
        </w:rPr>
        <w:t>Präsidium) Verpflichtungserklärung</w:t>
      </w:r>
    </w:p>
    <w:p>
      <w:pPr>
        <w:spacing w:before="174" w:line="229" w:lineRule="auto"/>
        <w:ind w:left="615"/>
        <w:rPr>
          <w:rFonts w:ascii="楷体" w:hAnsi="楷体" w:eastAsia="楷体" w:cs="楷体"/>
          <w:sz w:val="31"/>
          <w:szCs w:val="31"/>
        </w:rPr>
      </w:pPr>
      <w:r>
        <w:rPr>
          <w:rFonts w:ascii="Times New Roman" w:hAnsi="Times New Roman" w:eastAsia="Times New Roman" w:cs="Times New Roman"/>
          <w:spacing w:val="-8"/>
          <w:sz w:val="31"/>
          <w:szCs w:val="31"/>
        </w:rPr>
        <w:t>Die Integration des Jangtse-Flussdeltas und die Entwicklung des Jangtse-Flusswirtschaftsgürtels Shanghai, Jiangsu, Zhejiang</w:t>
      </w:r>
    </w:p>
    <w:p>
      <w:pPr>
        <w:sectPr>
          <w:footerReference r:id="rId6" w:type="default"/>
          <w:pgSz w:w="11906" w:h="16839"/>
          <w:pgMar w:top="400" w:right="1379" w:bottom="1876" w:left="1592"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left="14" w:firstLine="8"/>
        <w:rPr>
          <w:rFonts w:ascii="楷体" w:hAnsi="楷体" w:eastAsia="楷体" w:cs="楷体"/>
          <w:sz w:val="31"/>
          <w:szCs w:val="31"/>
        </w:rPr>
      </w:pPr>
      <w:r>
        <w:rPr>
          <w:rFonts w:ascii="楷体" w:hAnsi="楷体" w:eastAsia="楷体" w:cs="楷体"/>
          <w:spacing w:val="-2"/>
          <w:sz w:val="31"/>
          <w:szCs w:val="31"/>
        </w:rPr>
        <w:t>Von den Wissenschafts- und Technologieabteilungen (Ausschüsse, Büros) der Provinzen und Städte wie Jiang, Anhui, Jiangxi, Hubei, Hunan, Sichuan, Guizhou, Yunnan, Nanjing, Hangzhou, Wuhan, Ningbo usw. durchgeführt</w:t>
      </w:r>
    </w:p>
    <w:p>
      <w:pPr>
        <w:spacing w:line="231" w:lineRule="auto"/>
        <w:ind w:left="613"/>
        <w:rPr>
          <w:rFonts w:ascii="楷体" w:hAnsi="楷体" w:eastAsia="楷体" w:cs="楷体"/>
          <w:sz w:val="31"/>
          <w:szCs w:val="31"/>
        </w:rPr>
      </w:pPr>
      <w:r>
        <w:rPr>
          <w:rFonts w:ascii="Times New Roman" w:hAnsi="Times New Roman" w:eastAsia="Times New Roman" w:cs="Times New Roman"/>
          <w:spacing w:val="-8"/>
          <w:sz w:val="31"/>
          <w:szCs w:val="31"/>
        </w:rPr>
        <w:t>--Der Bauabschnitt der Guangdong Hong Kong Macao Greater Bay Area Von Guangdong Provincial Department of Science and Technology durchgeführt</w:t>
      </w:r>
    </w:p>
    <w:p>
      <w:pPr>
        <w:spacing w:before="173" w:line="333" w:lineRule="auto"/>
        <w:ind w:left="11" w:right="4" w:firstLine="602"/>
        <w:rPr>
          <w:rFonts w:ascii="楷体" w:hAnsi="楷体" w:eastAsia="楷体" w:cs="楷体"/>
          <w:sz w:val="31"/>
          <w:szCs w:val="31"/>
        </w:rPr>
      </w:pPr>
      <w:r>
        <w:rPr>
          <w:rFonts w:ascii="Times New Roman" w:hAnsi="Times New Roman" w:eastAsia="Times New Roman" w:cs="Times New Roman"/>
          <w:spacing w:val="-17"/>
          <w:sz w:val="31"/>
          <w:szCs w:val="31"/>
        </w:rPr>
        <w:t>--Northeast Comprehensive Revitalization Plate Von den Wissenschafts- und Technologieabteilungen (Komitees, Büros) von Provinzen und Städten wie Liaoning, Jilin, Heilongjiang, Shenyang, Changchun, Harbin, Dalian usw. übernommen</w:t>
      </w:r>
    </w:p>
    <w:p>
      <w:pPr>
        <w:spacing w:before="2" w:line="333" w:lineRule="auto"/>
        <w:ind w:left="13" w:right="122" w:firstLine="600"/>
        <w:rPr>
          <w:rFonts w:ascii="楷体" w:hAnsi="楷体" w:eastAsia="楷体" w:cs="楷体"/>
          <w:sz w:val="31"/>
          <w:szCs w:val="31"/>
        </w:rPr>
      </w:pPr>
      <w:r>
        <w:rPr>
          <w:rFonts w:ascii="Times New Roman" w:hAnsi="Times New Roman" w:eastAsia="Times New Roman" w:cs="Times New Roman"/>
          <w:spacing w:val="-10"/>
          <w:sz w:val="31"/>
          <w:szCs w:val="31"/>
        </w:rPr>
        <w:t>--Der westliche Entwicklungssektor Von den Wissenschafts- und Technologieabteilungen (Komitees, Büros) der Inneren Mongolei, Guangxi, Tibet, Shaanxi, Gansu, Qinghai, Ningxia, Xinjiang, Xi'an und anderen Provinzen und Regionen durchgeführt</w:t>
      </w:r>
    </w:p>
    <w:p>
      <w:pPr>
        <w:spacing w:line="231" w:lineRule="auto"/>
        <w:ind w:left="613"/>
        <w:rPr>
          <w:rFonts w:ascii="楷体" w:hAnsi="楷体" w:eastAsia="楷体" w:cs="楷体"/>
          <w:sz w:val="31"/>
          <w:szCs w:val="31"/>
        </w:rPr>
      </w:pPr>
      <w:r>
        <w:rPr>
          <w:rFonts w:ascii="Times New Roman" w:hAnsi="Times New Roman" w:eastAsia="Times New Roman" w:cs="Times New Roman"/>
          <w:spacing w:val="-14"/>
          <w:sz w:val="31"/>
          <w:szCs w:val="31"/>
        </w:rPr>
        <w:t>--Die aufsteigende Platte in der zentralen Region Von den Wissenschafts- und Technologieabteilungen von Shanxi, Henan und anderen Provinzen durchgeführt]</w:t>
      </w:r>
    </w:p>
    <w:p>
      <w:pPr>
        <w:spacing w:before="170" w:line="334" w:lineRule="auto"/>
        <w:ind w:left="45" w:right="105" w:firstLine="568"/>
        <w:rPr>
          <w:rFonts w:ascii="楷体" w:hAnsi="楷体" w:eastAsia="楷体" w:cs="楷体"/>
          <w:sz w:val="31"/>
          <w:szCs w:val="31"/>
        </w:rPr>
      </w:pPr>
      <w:r>
        <w:rPr>
          <w:rFonts w:ascii="Times New Roman" w:hAnsi="Times New Roman" w:eastAsia="Times New Roman" w:cs="Times New Roman"/>
          <w:spacing w:val="-5"/>
          <w:sz w:val="31"/>
          <w:szCs w:val="31"/>
        </w:rPr>
        <w:t>--Der östliche Modernisierungssektor Von den Wissenschafts- und Technologieabteilungen (Ausschüsse, Büros) von Fujian, Shandong, Hainan, Jinan, Qingdao, Xiamen und anderen Provinzen und Städten durchgeführt</w:t>
      </w:r>
    </w:p>
    <w:p>
      <w:pPr>
        <w:spacing w:before="2" w:line="333" w:lineRule="auto"/>
        <w:ind w:left="32" w:right="107" w:firstLine="581"/>
        <w:rPr>
          <w:rFonts w:ascii="楷体" w:hAnsi="楷体" w:eastAsia="楷体" w:cs="楷体"/>
          <w:sz w:val="31"/>
          <w:szCs w:val="31"/>
        </w:rPr>
      </w:pPr>
      <w:r>
        <w:rPr>
          <w:rFonts w:ascii="Times New Roman" w:hAnsi="Times New Roman" w:eastAsia="Times New Roman" w:cs="Times New Roman"/>
          <w:spacing w:val="-5"/>
          <w:sz w:val="31"/>
          <w:szCs w:val="31"/>
        </w:rPr>
        <w:t>--Der Bauabschnitt des Chengdu Chongqing dualen städtischen Wirtschaftskreises Von den Wissenschafts- und Technologieabteilungen (Ausschüsse, Büros) von Chongqing, Chengdu und anderen Städten durchgeführt]</w:t>
      </w:r>
    </w:p>
    <w:p>
      <w:pPr>
        <w:spacing w:before="2" w:line="332" w:lineRule="auto"/>
        <w:ind w:left="13" w:right="107" w:firstLine="600"/>
        <w:rPr>
          <w:rFonts w:ascii="楷体" w:hAnsi="楷体" w:eastAsia="楷体" w:cs="楷体"/>
          <w:sz w:val="31"/>
          <w:szCs w:val="31"/>
        </w:rPr>
      </w:pPr>
      <w:r>
        <w:rPr>
          <w:rFonts w:ascii="Times New Roman" w:hAnsi="Times New Roman" w:eastAsia="Times New Roman" w:cs="Times New Roman"/>
          <w:spacing w:val="-5"/>
          <w:sz w:val="31"/>
          <w:szCs w:val="31"/>
        </w:rPr>
        <w:t>--Bauabschnitt Pilotdemonstrationszonen Vom Shenzhen Science and Technology Innovation Committee durchgeführt und von den zuständigen Bezirksregierungen der Stadt Shenzhen durchgeführt</w:t>
      </w:r>
    </w:p>
    <w:p>
      <w:pPr>
        <w:spacing w:line="224" w:lineRule="auto"/>
        <w:ind w:left="621"/>
        <w:outlineLvl w:val="0"/>
        <w:rPr>
          <w:rFonts w:ascii="仿宋" w:hAnsi="仿宋" w:eastAsia="仿宋" w:cs="仿宋"/>
          <w:sz w:val="31"/>
          <w:szCs w:val="31"/>
        </w:rPr>
      </w:pPr>
      <w:r>
        <w:rPr>
          <w:rFonts w:ascii="Times New Roman" w:hAnsi="Times New Roman" w:eastAsia="Times New Roman" w:cs="Times New Roman"/>
          <w:b/>
          <w:bCs/>
          <w:spacing w:val="2"/>
          <w:sz w:val="31"/>
          <w:szCs w:val="31"/>
        </w:rPr>
        <w:t>3. Unternehmen führen und unterstützen Innovation Exhibition Area</w:t>
      </w:r>
    </w:p>
    <w:p>
      <w:pPr>
        <w:spacing w:before="190" w:line="333" w:lineRule="auto"/>
        <w:ind w:right="107" w:firstLine="613"/>
        <w:rPr>
          <w:rFonts w:ascii="楷体" w:hAnsi="楷体" w:eastAsia="楷体" w:cs="楷体"/>
          <w:sz w:val="31"/>
          <w:szCs w:val="31"/>
        </w:rPr>
      </w:pPr>
      <w:r>
        <w:rPr>
          <w:rFonts w:ascii="Times New Roman" w:hAnsi="Times New Roman" w:eastAsia="Times New Roman" w:cs="Times New Roman"/>
          <w:spacing w:val="-2"/>
          <w:sz w:val="31"/>
          <w:szCs w:val="31"/>
        </w:rPr>
        <w:t xml:space="preserve">--Ausstellungsbereich der wissenschaftlichen und technologischen Innovationsleistungen zentraler Unternehmen. Mit dem Ziel, sich auf die industrielle Kette zu konzentrieren, die Innovationskette auszulegen, die Talentkette zu konfigurieren und die führende und unterstützende Rolle großer Unternehmen voll auszuschöpfen, laden wir zentrale Unternehmen ein, Ausstellungen und Ausstellungen einzurichten, um die Errungenschaften und Errungenschaften der wissenschaftlichen und technologischen Innovation zu präsentieren, Projektnachfragelisten und Rekrutierungslisten aufzudecken, Aktivitäten durchzuführen kooperativen Austausch und Produkttransaktionen durchzuführen und die Integration und Innovation von vor- und nachgelagerten Industrien sowie großen und kleinen Unternehmen zu fördern Gefördert durch das Büro für internationale Zusammenarbeit der staatlichen Vermögensaufsichts- und Verwaltungskommission des Staatsrates</w:t>
      </w:r>
    </w:p>
    <w:p>
      <w:pPr>
        <w:spacing w:before="1" w:line="223" w:lineRule="auto"/>
        <w:ind w:left="613"/>
        <w:rPr>
          <w:rFonts w:ascii="仿宋" w:hAnsi="仿宋" w:eastAsia="仿宋" w:cs="仿宋"/>
          <w:sz w:val="31"/>
          <w:szCs w:val="31"/>
        </w:rPr>
      </w:pPr>
      <w:r>
        <w:rPr>
          <w:rFonts w:ascii="Times New Roman" w:hAnsi="Times New Roman" w:eastAsia="Times New Roman" w:cs="Times New Roman"/>
          <w:spacing w:val="-3"/>
          <w:sz w:val="31"/>
          <w:szCs w:val="31"/>
        </w:rPr>
        <w:t>--Innovation und Unternehmertum Errungenschaften Anzeige und Handel Abschnitt. Stärkung der beherrschenden Stellung der Unternehmen im Bereich Innovation,</w:t>
      </w:r>
    </w:p>
    <w:p>
      <w:pPr>
        <w:sectPr>
          <w:footerReference r:id="rId7" w:type="default"/>
          <w:pgSz w:w="11906" w:h="16839"/>
          <w:pgMar w:top="400" w:right="1353" w:bottom="1876" w:left="1593" w:header="0" w:footer="1716"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1" w:line="334" w:lineRule="auto"/>
        <w:ind w:left="3" w:firstLine="13"/>
        <w:rPr>
          <w:rFonts w:ascii="楷体" w:hAnsi="楷体" w:eastAsia="楷体" w:cs="楷体"/>
          <w:sz w:val="31"/>
          <w:szCs w:val="31"/>
        </w:rPr>
      </w:pPr>
      <w:r>
        <w:rPr>
          <w:rFonts w:ascii="仿宋" w:hAnsi="仿宋" w:eastAsia="仿宋" w:cs="仿宋"/>
          <w:spacing w:val="-4"/>
          <w:sz w:val="31"/>
          <w:szCs w:val="31"/>
        </w:rPr>
        <w:t>Mobilisieren Sie die Innovationsenthusiasmus von Unternehmen vollständig, fördern Sie die Sammlung verschiedener innovativer Elemente zu Unternehmen und laden Sie "spezialisierte, raffinierte und innovative" Technologieunternehmen, innovative kleine und Kleinstunternehmen sowie Startups und Einzelpersonen sowie Inhaber (Teams) von preisgekrönten Projekten im Shenzhen Innovation and Entrepreneurship Competition International Competition ein, an der Ausstellung teilzunehmen, wissenschaftliche und technologische Innovationsleistungen und unternehmerische Projekte zu fördern, die Landung von Leistungsprojekten zu fördern, Produkttransaktionen vor Ort durchzuführen und Technologieunternehmen zu unterstützen Innovative kleine und mittlere Unternehmen sind zu wichtigen Innovationsquellen herangewachsen Veranstaltet vom China International Talent Exchange Center, unterstützt von relevanten Provinzen und Kommunen Wissenschaft und Technologie Abteilungen (Komitees, Büros), geleitet vom Shenzhen Human Resources and Social Security Bureau und durchgeführt vom Shenzhen International Talent Exchange Center</w:t>
      </w:r>
    </w:p>
    <w:p>
      <w:pPr>
        <w:spacing w:line="222" w:lineRule="auto"/>
        <w:ind w:left="627"/>
        <w:outlineLvl w:val="0"/>
        <w:rPr>
          <w:rFonts w:ascii="仿宋" w:hAnsi="仿宋" w:eastAsia="仿宋" w:cs="仿宋"/>
          <w:sz w:val="31"/>
          <w:szCs w:val="31"/>
        </w:rPr>
      </w:pPr>
      <w:r>
        <w:rPr>
          <w:rFonts w:ascii="Times New Roman" w:hAnsi="Times New Roman" w:eastAsia="Times New Roman" w:cs="Times New Roman"/>
          <w:b/>
          <w:bCs/>
          <w:spacing w:val="-6"/>
          <w:sz w:val="31"/>
          <w:szCs w:val="31"/>
        </w:rPr>
        <w:t>4. Ausstellungsfläche für internationalen Umweltbau</w:t>
      </w:r>
    </w:p>
    <w:p>
      <w:pPr>
        <w:spacing w:before="189" w:line="333" w:lineRule="auto"/>
        <w:ind w:left="9" w:right="6" w:firstLine="606"/>
        <w:rPr>
          <w:rFonts w:ascii="仿宋" w:hAnsi="仿宋" w:eastAsia="仿宋" w:cs="仿宋"/>
          <w:sz w:val="31"/>
          <w:szCs w:val="31"/>
        </w:rPr>
      </w:pPr>
      <w:r>
        <w:rPr>
          <w:rFonts w:ascii="Times New Roman" w:hAnsi="Times New Roman" w:eastAsia="Times New Roman" w:cs="Times New Roman"/>
          <w:spacing w:val="-2"/>
          <w:sz w:val="31"/>
          <w:szCs w:val="31"/>
        </w:rPr>
        <w:t xml:space="preserve">--Ausstellungs- und Promotionsabteilung für professionelle Institutionen im In- und Ausland. Mit dem Ziel, die Effizienz der inländischen und ausländischen dualen Zirkulation zu verbessern und gegenseitigen Nutzen und Win-Win-Ergebnisse zu erzielen, und im Einklang mit dem Prinzip der nationalen Diversifizierung, der Konsolidierung bestehender Kanäle und der Erweiterung neuer Kanäle laden wir ausländische Expertenorganisationen, Universitäten, Forschungseinrichtungen, Personaleinrichtungen, Ausbildungseinrichtungen, Unternehmen und andere Institutionen ein, das praktische Andocken zwischen inländischen und ausländischen Angebot- und Nachfrageseiten zu fördern und eine offene und kooperative duale Zirkulation zu erreichen.</w:t>
      </w:r>
    </w:p>
    <w:p>
      <w:pPr>
        <w:spacing w:before="1" w:line="225" w:lineRule="auto"/>
        <w:rPr>
          <w:rFonts w:ascii="楷体" w:hAnsi="楷体" w:eastAsia="楷体" w:cs="楷体"/>
          <w:sz w:val="31"/>
          <w:szCs w:val="31"/>
        </w:rPr>
      </w:pPr>
      <w:r>
        <w:rPr>
          <w:rFonts w:ascii="楷体" w:hAnsi="楷体" w:eastAsia="楷体" w:cs="楷体"/>
          <w:spacing w:val="2"/>
          <w:sz w:val="31"/>
          <w:szCs w:val="31"/>
        </w:rPr>
        <w:t>Geleitet von relevanten Abteilungen des Ministeriums für Wissenschaft und Technologie, durchgeführt vom Shenzhen International Talent Exchange Center</w:t>
      </w:r>
    </w:p>
    <w:p>
      <w:pPr>
        <w:spacing w:before="182" w:line="337" w:lineRule="auto"/>
        <w:ind w:right="13" w:firstLine="616"/>
        <w:rPr>
          <w:rFonts w:ascii="楷体" w:hAnsi="楷体" w:eastAsia="楷体" w:cs="楷体"/>
          <w:sz w:val="31"/>
          <w:szCs w:val="31"/>
        </w:rPr>
      </w:pPr>
      <w:r>
        <w:rPr>
          <w:rFonts w:ascii="Times New Roman" w:hAnsi="Times New Roman" w:eastAsia="Times New Roman" w:cs="Times New Roman"/>
          <w:spacing w:val="12"/>
          <w:sz w:val="31"/>
          <w:szCs w:val="31"/>
        </w:rPr>
        <w:t>--Wissenschaft und Technologie Innovation Austausch und Zusammenarbeit Abschnitt. Basierend auf dem Prinzip des gegenseitigen Nutzens und der Win-Win-Situation, basierend auf der Förderung der tiefen Integration der internationalen Innovationskette und der industriellen Kette, die sich den hochmodernen Innovationstechnologiefeldern mit internationalen Vorteilen gegenübersieht, sich auf internationale, Hongkong, Macao und Taiwan Innovationskooperation und Talentaustausch konzentriert, innovative Elemente wie Talente, Projekte, Plattformen und Industrien sammelt, die Felder und Räume der Innovationszusammenarbeit zwischen Menschen erweitert und inländische und ausländische Talente und Innovationsinstitutionen einlädt, an der grenzüberschreitenden Innovationszusammenarbeit teilzunehmen, Basierend auf den Vorteilen unserer eigenen innovativen Ressourcen und Arbeitsergebnisse werden wir sie zentralisiert präsentieren und fördern und die praktische Andockung und Zusammenarbeit innovativer Ressourcen in Schlüsseltechnologiebereichen, einschließlich Industrie, Wissenschaft und Forschung, effektiv fördern. China Science and Technology Exchange</w:t>
      </w:r>
    </w:p>
    <w:p>
      <w:pPr>
        <w:sectPr>
          <w:footerReference r:id="rId8" w:type="default"/>
          <w:pgSz w:w="11906" w:h="16839"/>
          <w:pgMar w:top="400" w:right="1373" w:bottom="1876" w:left="1591"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31" w:lineRule="auto"/>
        <w:ind w:left="16"/>
        <w:rPr>
          <w:rFonts w:ascii="楷体" w:hAnsi="楷体" w:eastAsia="楷体" w:cs="楷体"/>
          <w:sz w:val="31"/>
          <w:szCs w:val="31"/>
        </w:rPr>
      </w:pPr>
      <w:r>
        <w:rPr>
          <w:rFonts w:ascii="楷体" w:hAnsi="楷体" w:eastAsia="楷体" w:cs="楷体"/>
          <w:spacing w:val="1"/>
          <w:sz w:val="31"/>
          <w:szCs w:val="31"/>
        </w:rPr>
        <w:t>Geleitet vom Flow Center und durchgeführt vom International Technology Transfer Cooperation Network</w:t>
      </w:r>
    </w:p>
    <w:p>
      <w:pPr>
        <w:spacing w:before="178" w:line="333" w:lineRule="auto"/>
        <w:ind w:left="3" w:right="13" w:firstLine="606"/>
        <w:rPr>
          <w:rFonts w:ascii="楷体" w:hAnsi="楷体" w:eastAsia="楷体" w:cs="楷体"/>
          <w:sz w:val="31"/>
          <w:szCs w:val="31"/>
        </w:rPr>
      </w:pPr>
      <w:r>
        <w:rPr>
          <w:rFonts w:ascii="Times New Roman" w:hAnsi="Times New Roman" w:eastAsia="Times New Roman" w:cs="Times New Roman"/>
          <w:spacing w:val="12"/>
          <w:sz w:val="31"/>
          <w:szCs w:val="31"/>
        </w:rPr>
        <w:t>--Der Sektor der Revitalisierung des Landes durch Wissenschaft und Bildung. Eine neue Ära und ein neues Muster. Universitäten sollten ihre Mission und ihren Wert unter Beweis stellen, ihre Bildungsmethoden aktiv verändern und erstklassige innovative Talente fördern; Überwindung disziplinärer Grenzen und Förderung der interdisziplinären Integration; Transformation von Forschungsparadigmen und Ausbau unabhängiger Innovationskapazitäten; Vertiefen Sie die globale Strategie und dienen Sie dem Aufbau einer Gemeinschaft mit einer gemeinsamen Zukunft für die Menschheit. Der Ausstellungsbereich lädt inländische und ausländische Hochschulen ein, die Leistungen erstklassiger Universitäten und Disziplinen, den aktuellen Stand des internationalen Umweltbaus, Beispiele wirtschaftlicher und sozialer Entwicklung zu präsentieren und Forschungsleistungen in vorteilhaften Disziplinen zu fördern Geleitet von relevanten Abteilungen und Zentren des Ministeriums für Wissenschaft und Technologie, unterstützt von einschlägigen in- und ausländischen Universitäten und durchgeführt vom Shenzhen International Talent Exchange Center</w:t>
      </w:r>
    </w:p>
    <w:p>
      <w:pPr>
        <w:spacing w:before="7" w:line="333" w:lineRule="auto"/>
        <w:ind w:left="1" w:firstLine="609"/>
        <w:rPr>
          <w:rFonts w:ascii="楷体" w:hAnsi="楷体" w:eastAsia="楷体" w:cs="楷体"/>
          <w:sz w:val="31"/>
          <w:szCs w:val="31"/>
        </w:rPr>
      </w:pPr>
      <w:r>
        <w:rPr>
          <w:rFonts w:ascii="Times New Roman" w:hAnsi="Times New Roman" w:eastAsia="Times New Roman" w:cs="Times New Roman"/>
          <w:spacing w:val="12"/>
          <w:sz w:val="31"/>
          <w:szCs w:val="31"/>
        </w:rPr>
        <w:t>--Ausstellung und Förderung Abschnitt der Human Resources Service Institutionen. Laden Sie bekannte Headhunting-Unternehmen im In- und Ausland, Personalmärkte, Arbeitsdispositions- und Outsourcing-Dienstleistungsagenturen, Talentbewertungsagenturen, Managementberatung usw. ein, um anzuzeigen und zu fördern, sich auf die Entwicklung der Personaldienstleistungsbranche und die Entwicklung von Personaldienstleistungsinstitutionen zu konzentrieren, das Angebot und die Nachfrage von Personaldienstleistungen tief anzuklopfen, das Angebot und die Nachfrage Docking, die Projektumsetzung und Leistungstransformation zu fördern, Förderung der hochwertigen Entwicklung der Personaldienstleistungsbranche in der neuen Ära Geführt vom Shenzhen Municipal Bureau of Human Resources and Social Security, durchgeführt vom Shenzhen International Talent Exchange Center und dem Asia Pacific Talent Service Research Institute</w:t>
      </w:r>
    </w:p>
    <w:p>
      <w:pPr>
        <w:spacing w:line="222" w:lineRule="auto"/>
        <w:ind w:left="610"/>
        <w:rPr>
          <w:rFonts w:ascii="仿宋" w:hAnsi="仿宋" w:eastAsia="仿宋" w:cs="仿宋"/>
          <w:sz w:val="31"/>
          <w:szCs w:val="31"/>
        </w:rPr>
      </w:pPr>
      <w:r>
        <w:rPr>
          <w:rFonts w:ascii="Times New Roman" w:hAnsi="Times New Roman" w:eastAsia="Times New Roman" w:cs="Times New Roman"/>
          <w:spacing w:val="12"/>
          <w:sz w:val="31"/>
          <w:szCs w:val="31"/>
        </w:rPr>
        <w:t>--Technologie und Finanzdienstleistungen Display und Promotion Abschnitt. Vertiefung der Unternehmenstechnologie und Finanzdienstleistungen</w:t>
      </w:r>
    </w:p>
    <w:p>
      <w:pPr>
        <w:spacing w:before="185" w:line="337" w:lineRule="auto"/>
        <w:ind w:right="92" w:firstLine="2"/>
        <w:rPr>
          <w:rFonts w:ascii="楷体" w:hAnsi="楷体" w:eastAsia="楷体" w:cs="楷体"/>
          <w:sz w:val="31"/>
          <w:szCs w:val="31"/>
        </w:rPr>
      </w:pPr>
      <w:r>
        <w:rPr>
          <w:rFonts w:ascii="仿宋" w:hAnsi="仿宋" w:eastAsia="仿宋" w:cs="仿宋"/>
          <w:spacing w:val="10"/>
          <w:sz w:val="31"/>
          <w:szCs w:val="31"/>
        </w:rPr>
        <w:t>Wir laden Finanzinstitute wie Banken, Futures, Finanzierungsgarantien, Wertpapiere, Versicherungen, Risikokapital und Industrieorganisationen zur Teilnahme an der Ausstellung ein. Bauen Sie eine Brücke zwischen Finanzinstituten und wissenschaftlichen und technologischen Unternehmen, innovieren Sie Finanzprodukte, verbessern Sie Dienstleistungsmodelle, erweitern Sie Unternehmensfinanzierungskanäle, verwirklichen Sie die organische Kombination von wissenschaftlicher und technologischer Innovationskette und Finanzkapitalkette, stellen Sie systematische Lösungen und technische Unterstützung für die Finanzierung wissenschaftlicher und technologischer KMU und die Transformation wissenschaftlicher und technologischer Errungenschaften zur Verfügung und stellen Sie die Entwicklungsökologie der finanziellen Unterstützung für die Realwirtschaft vor. Geführt vom Shenzhen Science and Technology Innovation Committee und überwacht von lokalen Finanzinstituten in Shenzhen</w:t>
      </w:r>
    </w:p>
    <w:p>
      <w:pPr>
        <w:sectPr>
          <w:footerReference r:id="rId9" w:type="default"/>
          <w:pgSz w:w="11906" w:h="16839"/>
          <w:pgMar w:top="400" w:right="1373" w:bottom="1876" w:left="1597"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left="15" w:right="86" w:firstLine="7"/>
        <w:rPr>
          <w:rFonts w:ascii="楷体" w:hAnsi="楷体" w:eastAsia="楷体" w:cs="楷体"/>
          <w:sz w:val="31"/>
          <w:szCs w:val="31"/>
        </w:rPr>
      </w:pPr>
      <w:r>
        <w:rPr>
          <w:rFonts w:ascii="楷体" w:hAnsi="楷体" w:eastAsia="楷体" w:cs="楷体"/>
          <w:spacing w:val="7"/>
          <w:sz w:val="31"/>
          <w:szCs w:val="31"/>
        </w:rPr>
        <w:t>Unterstützt durch das Management-Büro, organisiert vom Shenzhen International Talent Exchange Center und Shenzhen Longhua Innovation Ecological Service Association</w:t>
      </w:r>
    </w:p>
    <w:p>
      <w:pPr>
        <w:spacing w:before="1" w:line="230" w:lineRule="auto"/>
        <w:ind w:left="654"/>
        <w:rPr>
          <w:rFonts w:ascii="楷体" w:hAnsi="楷体" w:eastAsia="楷体" w:cs="楷体"/>
          <w:sz w:val="31"/>
          <w:szCs w:val="31"/>
        </w:rPr>
      </w:pPr>
      <w:r>
        <w:rPr>
          <w:rFonts w:ascii="楷体" w:hAnsi="楷体" w:eastAsia="楷体" w:cs="楷体"/>
          <w:spacing w:val="16"/>
          <w:sz w:val="31"/>
          <w:szCs w:val="31"/>
        </w:rPr>
        <w:t>(2) Overseas Returned Talents Innovation and Entrepreneurship Hall</w:t>
      </w:r>
    </w:p>
    <w:p>
      <w:pPr>
        <w:spacing w:before="179" w:line="333" w:lineRule="auto"/>
        <w:ind w:right="216" w:firstLine="632"/>
        <w:rPr>
          <w:rFonts w:ascii="楷体" w:hAnsi="楷体" w:eastAsia="楷体" w:cs="楷体"/>
          <w:sz w:val="31"/>
          <w:szCs w:val="31"/>
        </w:rPr>
      </w:pPr>
      <w:r>
        <w:rPr>
          <w:rFonts w:ascii="仿宋" w:hAnsi="仿宋" w:eastAsia="仿宋" w:cs="仿宋"/>
          <w:spacing w:val="1"/>
          <w:sz w:val="31"/>
          <w:szCs w:val="31"/>
        </w:rPr>
        <w:t>Organisieren Sie ausländische Studentenorganisationen, ausländische Hochschuleinrichtungen und einzelne internationale Studenten sowie inländische Abteilungen, die für die Rückkehr von Studenten, internationale studentische Unternehmerparks und Unternehmen zuständig sind, um Richtlinien wie die Einführung von ausländischen Studenten, ausländische Talentprogramme auf hohem Niveau und unternehmerische Unterstützung in verschiedenen Regionen zu fördern und eine Docking- und Kooperationsplattform für zurückkehrende Studenten zu schaffen. Gleichzeitige Organisation von Aktivitäten wie Auslandsarbeitsmessen für Rückkehrer, "Hundert Expo Tour", Roadshows für Promotionsprojekte und Foren für Karriereplanung und Entwicklung von Rückkehrern in Übersee Geführt vom städtischen Büro für Human Resources Security von Shenzhen und organisiert von der Shenzhen Overseas Returnees Association (nachstehend als Shenzhen Overseas Returnees Association bezeichnet)</w:t>
      </w:r>
    </w:p>
    <w:p>
      <w:pPr>
        <w:spacing w:line="229" w:lineRule="auto"/>
        <w:ind w:left="654"/>
        <w:rPr>
          <w:rFonts w:ascii="楷体" w:hAnsi="楷体" w:eastAsia="楷体" w:cs="楷体"/>
          <w:sz w:val="31"/>
          <w:szCs w:val="31"/>
        </w:rPr>
      </w:pPr>
      <w:r>
        <w:rPr>
          <w:rFonts w:ascii="楷体" w:hAnsi="楷体" w:eastAsia="楷体" w:cs="楷体"/>
          <w:spacing w:val="10"/>
          <w:sz w:val="31"/>
          <w:szCs w:val="31"/>
        </w:rPr>
        <w:t>(3) Ausstellungshalle zur Popularisierung von Wissenschaft und Technologie</w:t>
      </w:r>
    </w:p>
    <w:p>
      <w:pPr>
        <w:spacing w:before="176" w:line="336" w:lineRule="auto"/>
        <w:ind w:left="1" w:firstLine="634"/>
        <w:rPr>
          <w:rFonts w:ascii="楷体" w:hAnsi="楷体" w:eastAsia="楷体" w:cs="楷体"/>
          <w:sz w:val="31"/>
          <w:szCs w:val="31"/>
        </w:rPr>
      </w:pPr>
      <w:r>
        <w:rPr>
          <w:rFonts w:ascii="仿宋" w:hAnsi="仿宋" w:eastAsia="仿宋" w:cs="仿宋"/>
          <w:spacing w:val="10"/>
          <w:sz w:val="31"/>
          <w:szCs w:val="31"/>
        </w:rPr>
        <w:t>Tiefgreifende Umsetzung der "Meinungen zur weiteren Stärkung der Popularisierung von Wissenschaft und Technologie in der neuen Ära" und der "Umriss des Aktionsplans für die nationale Wissenschafts- und Technologiekompetenz (2021-2035)", tatkräftig Förderung des wissenschaftlichen Geistes und Wissens in der gesamten Gesellschaft, Förderung wissenschaftlicher Träume und Bestrebungen, Förderung der umfassenden Verbesserung der wissenschaftlichen Kompetenz des gesamten Volkes, starke Unterstützung für wissenschaftliche und technologische Selbstvertrauen auf hohem Niveau und Aufbau eines weltweiten Wissenschafts- und Technologiekraftwerks Einen größeren Beitrag zur großen Verjüngung der chinesischen Nation leisten. Indem wir uns auf die heißen Themen der wissenschaftlichen und technologischen Innovation konzentrieren, um die die Öffentlichkeit besorgt ist, werden wir wissenschaftliche und technologische Ressourcen popularisieren und den Austausch und den Handel mit populärwissenschaftlichen Produkten fördern; Förderung der tiefen Integration von Informationstechnologie und Wissenschafts- und Innovationsbildung, Stimulierung der Neugier und Phantasie junger Menschen, Verbesserung ihres wissenschaftlichen Interesses, Innovationsbewusstseins und Innovationsfähigkeit, Kultivierung einer großen Gruppe junger Menschen mit wissenschaftlichem Potenzial und Konsolidierung der Talentgrundlage für die Beschleunigung des Aufbaus eines starken Technologielandes Geleitet von relevanten Abteilungen des Ministeriums für Wissenschaft und Technologie, unterstützt von der Shenzhen Association of Science and Technology und dem Shenzhen Education Bureau, und durchgeführt vom Shenzhen International Talent Exchange Center</w:t>
      </w:r>
    </w:p>
    <w:p>
      <w:pPr>
        <w:sectPr>
          <w:footerReference r:id="rId10" w:type="default"/>
          <w:pgSz w:w="11906" w:h="16839"/>
          <w:pgMar w:top="400" w:right="1379" w:bottom="1876" w:left="1593"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31" w:lineRule="auto"/>
        <w:ind w:left="652"/>
        <w:rPr>
          <w:rFonts w:ascii="楷体" w:hAnsi="楷体" w:eastAsia="楷体" w:cs="楷体"/>
          <w:sz w:val="31"/>
          <w:szCs w:val="31"/>
        </w:rPr>
      </w:pPr>
      <w:r>
        <w:rPr>
          <w:rFonts w:ascii="楷体" w:hAnsi="楷体" w:eastAsia="楷体" w:cs="楷体"/>
          <w:spacing w:val="14"/>
          <w:sz w:val="31"/>
          <w:szCs w:val="31"/>
        </w:rPr>
        <w:t>(4) Internationales Talent Service Center</w:t>
      </w:r>
    </w:p>
    <w:p>
      <w:pPr>
        <w:spacing w:before="179" w:line="333" w:lineRule="auto"/>
        <w:ind w:left="5" w:firstLine="665"/>
        <w:rPr>
          <w:rFonts w:ascii="楷体" w:hAnsi="楷体" w:eastAsia="楷体" w:cs="楷体"/>
          <w:sz w:val="31"/>
          <w:szCs w:val="31"/>
        </w:rPr>
      </w:pPr>
      <w:r>
        <w:rPr>
          <w:rFonts w:ascii="仿宋" w:hAnsi="仿宋" w:eastAsia="仿宋" w:cs="仿宋"/>
          <w:spacing w:val="8"/>
          <w:sz w:val="31"/>
          <w:szCs w:val="31"/>
        </w:rPr>
        <w:t>Mit dem Ziel, den Aufbau von Chinas internationalem Umfeld zu beschleunigen, die Effizienz und das Niveau internationaler Talentdienste zu verbessern, serviceorientierten Konsum zu fördern, das Geschäftsumfeld zu optimieren und beim Bau internationaler Städte zu helfen, laden wir einige Konsulate in Guangzhou, inländische und ausländische Talentdienstleistungsinstitutionen, Personaldienstleistungsinstitutionen, Handelskammern und soziale Organisationen ein, Ausstellungen und Konferenzen einzurichten und das Konzept internationaler Talentdienste durch Vor-Ort-Ausstellungen, Austausch und Docking zu erkunden, Erforschung des Aufbaupfades internationaler Talentblöcke; Förderung öffentlicher Dienstleistungen, professioneller Dienstleistungen, Lebensdienstleistungen usw. durch Vor-Ort-Beratung, Kultur- und Unterhaltungsinteraktion, Rohstoffhandel, Ausstellungsanzeige und andere Formen Geführt vom China International Talent Exchange Center, geleitet von relevanten Abteilungen des Ministeriums für Wissenschaft und Technologie, der Organisationsabteilung des Shenzhen Municipal Party Committee und des Shenzhen Foreign Affairs Office und durchgeführt vom Shenzhen International Talent Exchange Center</w:t>
      </w:r>
    </w:p>
    <w:p>
      <w:pPr>
        <w:spacing w:line="228" w:lineRule="auto"/>
        <w:ind w:left="652"/>
        <w:rPr>
          <w:rFonts w:ascii="楷体" w:hAnsi="楷体" w:eastAsia="楷体" w:cs="楷体"/>
          <w:sz w:val="31"/>
          <w:szCs w:val="31"/>
        </w:rPr>
      </w:pPr>
      <w:r>
        <w:rPr>
          <w:rFonts w:ascii="楷体" w:hAnsi="楷体" w:eastAsia="楷体" w:cs="楷体"/>
          <w:spacing w:val="11"/>
          <w:sz w:val="31"/>
          <w:szCs w:val="31"/>
        </w:rPr>
        <w:t xml:space="preserve">(5) 2023 China IT Industry School Enterprise Cooperation Exhibition</w:t>
      </w:r>
    </w:p>
    <w:p>
      <w:pPr>
        <w:spacing w:before="177" w:line="220" w:lineRule="auto"/>
        <w:ind w:left="670"/>
        <w:rPr>
          <w:rFonts w:ascii="仿宋" w:hAnsi="仿宋" w:eastAsia="仿宋" w:cs="仿宋"/>
          <w:sz w:val="31"/>
          <w:szCs w:val="31"/>
        </w:rPr>
      </w:pPr>
      <w:r>
        <w:rPr>
          <w:rFonts w:ascii="仿宋" w:hAnsi="仿宋" w:eastAsia="仿宋" w:cs="仿宋"/>
          <w:spacing w:val="-10"/>
          <w:sz w:val="31"/>
          <w:szCs w:val="31"/>
        </w:rPr>
        <w:t>Mit dem Ziel, schulische Unternehmenskooperationen zu vertiefen und eine bundesweite Plattform für IT-Talente und Projektkooperationen aufzubauen</w:t>
      </w:r>
    </w:p>
    <w:p>
      <w:pPr>
        <w:spacing w:before="192" w:line="333" w:lineRule="auto"/>
        <w:ind w:right="222" w:firstLine="2"/>
        <w:rPr>
          <w:rFonts w:ascii="楷体" w:hAnsi="楷体" w:eastAsia="楷体" w:cs="楷体"/>
          <w:sz w:val="31"/>
          <w:szCs w:val="31"/>
        </w:rPr>
      </w:pPr>
      <w:r>
        <w:rPr>
          <w:rFonts w:ascii="仿宋" w:hAnsi="仿宋" w:eastAsia="仿宋" w:cs="仿宋"/>
          <w:spacing w:val="1"/>
          <w:sz w:val="31"/>
          <w:szCs w:val="31"/>
        </w:rPr>
        <w:t>Organisieren Sie nationale Demonstrationssoftware-Colleges, nationale Software Talent International Training (Shenzhen) Basisunternehmen und bekannte IT-Unternehmen, um an der Konferenz teilzunehmen, halten Sie engen Kontakt und Austausch aufrecht, fördern Sie gegenseitige Interaktion und Zusammenarbeit in Talentkultivierung, wissenschaftlicher und technologischer Forschung und Entwicklung, Leistungstransformation, Innovation und Unternehmertum und beschleunigen Sie die Verbesserung der High-Tech-Industrie Innovationsfähigkeiten von Shenzhen Shenzhen High Tech Industry Promotion Center</w:t>
      </w:r>
    </w:p>
    <w:p>
      <w:pPr>
        <w:spacing w:before="1"/>
        <w:ind w:left="633"/>
        <w:rPr>
          <w:rFonts w:ascii="黑体" w:hAnsi="黑体" w:eastAsia="黑体" w:cs="黑体"/>
          <w:sz w:val="31"/>
          <w:szCs w:val="31"/>
        </w:rPr>
      </w:pPr>
      <w:r>
        <w:rPr>
          <w:rFonts w:ascii="黑体" w:hAnsi="黑体" w:eastAsia="黑体" w:cs="黑体"/>
          <w:spacing w:val="-2"/>
          <w:sz w:val="31"/>
          <w:szCs w:val="31"/>
        </w:rPr>
        <w:t>3,Ausstellungsprozess</w:t>
      </w:r>
    </w:p>
    <w:p>
      <w:pPr>
        <w:spacing w:before="158" w:line="232" w:lineRule="auto"/>
        <w:ind w:left="652"/>
        <w:rPr>
          <w:rFonts w:ascii="楷体" w:hAnsi="楷体" w:eastAsia="楷体" w:cs="楷体"/>
          <w:sz w:val="31"/>
          <w:szCs w:val="31"/>
        </w:rPr>
      </w:pPr>
      <w:r>
        <w:rPr>
          <w:rFonts w:ascii="楷体" w:hAnsi="楷体" w:eastAsia="楷体" w:cs="楷体"/>
          <w:spacing w:val="21"/>
          <w:sz w:val="31"/>
          <w:szCs w:val="31"/>
        </w:rPr>
        <w:t>(1) Anmelden</w:t>
      </w:r>
    </w:p>
    <w:p>
      <w:pPr>
        <w:spacing w:before="109" w:line="347" w:lineRule="auto"/>
        <w:ind w:left="11" w:right="217" w:firstLine="635"/>
        <w:rPr>
          <w:rFonts w:ascii="仿宋" w:hAnsi="仿宋" w:eastAsia="仿宋" w:cs="仿宋"/>
          <w:sz w:val="31"/>
          <w:szCs w:val="31"/>
        </w:rPr>
      </w:pPr>
      <w:r>
        <w:rPr>
          <w:rFonts w:ascii="仿宋" w:hAnsi="仿宋" w:eastAsia="仿宋" w:cs="仿宋"/>
          <w:spacing w:val="-14"/>
          <w:sz w:val="31"/>
          <w:szCs w:val="31"/>
        </w:rPr>
        <w:t>Der vorgesehene Aussteller kann sich auf der offiziellen Website der Konferenz (www.ciep. gov.cn) einloggen, auf "Ich möchte teilnehmen" klicken, die grundlegenden Informationen ausfüllen und registrierte Benutzer werden. Er kann sich mit seinem registrierten Benutzernamen und Passwort im Backend des Ausstellers einloggen und sich für den späteren Messebetrieb anmelden.</w:t>
      </w:r>
    </w:p>
    <w:p>
      <w:pPr>
        <w:sectPr>
          <w:footerReference r:id="rId11" w:type="default"/>
          <w:pgSz w:w="11906" w:h="16839"/>
          <w:pgMar w:top="400" w:right="1373" w:bottom="1876" w:left="1596" w:header="0" w:footer="1716" w:gutter="0"/>
          <w:cols w:space="720" w:num="1"/>
        </w:sect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0" w:line="229" w:lineRule="auto"/>
        <w:ind w:left="647"/>
        <w:rPr>
          <w:rFonts w:ascii="楷体" w:hAnsi="楷体" w:eastAsia="楷体" w:cs="楷体"/>
          <w:sz w:val="31"/>
          <w:szCs w:val="31"/>
        </w:rPr>
      </w:pPr>
      <w:r>
        <w:rPr>
          <w:rFonts w:ascii="楷体" w:hAnsi="楷体" w:eastAsia="楷体" w:cs="楷体"/>
          <w:spacing w:val="21"/>
          <w:sz w:val="31"/>
          <w:szCs w:val="31"/>
        </w:rPr>
        <w:t>(2) Bewerben Sie sich für Stand</w:t>
      </w:r>
    </w:p>
    <w:p>
      <w:pPr>
        <w:spacing w:before="176" w:line="333" w:lineRule="auto"/>
        <w:ind w:right="2" w:firstLine="641"/>
        <w:rPr>
          <w:rFonts w:ascii="仿宋" w:hAnsi="仿宋" w:eastAsia="仿宋" w:cs="仿宋"/>
          <w:sz w:val="31"/>
          <w:szCs w:val="31"/>
        </w:rPr>
      </w:pPr>
      <w:r>
        <w:rPr>
          <w:rFonts w:ascii="仿宋" w:hAnsi="仿宋" w:eastAsia="仿宋" w:cs="仿宋"/>
          <w:spacing w:val="-20"/>
          <w:sz w:val="31"/>
          <w:szCs w:val="31"/>
        </w:rPr>
        <w:t>Der vorgesehene Aussteller sollte sich mit seinem registrierten Benutzernamen und Passwort im Backend des Ausstellers einloggen, auf "Messe bewerben" klicken und ggf. entsprechende Ausstellungsmaterialien ausfüllen und nach Bestätigung der Fehlerfreiheit eine Standbewerbung einreichen.</w:t>
      </w:r>
    </w:p>
    <w:p>
      <w:pPr>
        <w:spacing w:line="229" w:lineRule="auto"/>
        <w:ind w:left="647"/>
        <w:rPr>
          <w:rFonts w:ascii="楷体" w:hAnsi="楷体" w:eastAsia="楷体" w:cs="楷体"/>
          <w:sz w:val="31"/>
          <w:szCs w:val="31"/>
        </w:rPr>
      </w:pPr>
      <w:r>
        <w:rPr>
          <w:rFonts w:ascii="楷体" w:hAnsi="楷体" w:eastAsia="楷体" w:cs="楷体"/>
          <w:spacing w:val="21"/>
          <w:sz w:val="31"/>
          <w:szCs w:val="31"/>
        </w:rPr>
        <w:t>(3) Standbestätigung</w:t>
      </w:r>
    </w:p>
    <w:p>
      <w:pPr>
        <w:spacing w:before="176" w:line="333" w:lineRule="auto"/>
        <w:ind w:left="3" w:right="2" w:firstLine="631"/>
        <w:rPr>
          <w:rFonts w:ascii="仿宋" w:hAnsi="仿宋" w:eastAsia="仿宋" w:cs="仿宋"/>
          <w:sz w:val="31"/>
          <w:szCs w:val="31"/>
        </w:rPr>
      </w:pPr>
      <w:r>
        <w:rPr>
          <w:rFonts w:ascii="仿宋" w:hAnsi="仿宋" w:eastAsia="仿宋" w:cs="仿宋"/>
          <w:spacing w:val="1"/>
          <w:sz w:val="31"/>
          <w:szCs w:val="31"/>
        </w:rPr>
        <w:t>Nachdem das Organisationskomitee der Konferenz die Anmeldeinformationen für die Ausstellung bestätigt hat, können interessierte Aussteller bei Bedarf eine Standbestätigungsvereinbarung (mit dem Firmensiegel angebracht) unterzeichnen und an das Shenzhen International Talent Exchange Center zur rechtzeitigen Zahlung der entsprechenden Gebühren senden.</w:t>
      </w:r>
    </w:p>
    <w:p>
      <w:pPr>
        <w:spacing w:before="1" w:line="228" w:lineRule="auto"/>
        <w:ind w:left="647"/>
        <w:rPr>
          <w:rFonts w:ascii="楷体" w:hAnsi="楷体" w:eastAsia="楷体" w:cs="楷体"/>
          <w:sz w:val="31"/>
          <w:szCs w:val="31"/>
        </w:rPr>
      </w:pPr>
      <w:r>
        <w:rPr>
          <w:rFonts w:ascii="楷体" w:hAnsi="楷体" w:eastAsia="楷体" w:cs="楷体"/>
          <w:spacing w:val="21"/>
          <w:sz w:val="31"/>
          <w:szCs w:val="31"/>
        </w:rPr>
        <w:t>(4) Frist</w:t>
      </w:r>
    </w:p>
    <w:p>
      <w:pPr>
        <w:spacing w:before="178" w:line="333" w:lineRule="auto"/>
        <w:ind w:left="7" w:firstLine="627"/>
        <w:rPr>
          <w:rFonts w:ascii="仿宋" w:hAnsi="仿宋" w:eastAsia="仿宋" w:cs="仿宋"/>
          <w:sz w:val="31"/>
          <w:szCs w:val="31"/>
        </w:rPr>
      </w:pPr>
      <w:r>
        <w:rPr>
          <w:rFonts w:ascii="仿宋" w:hAnsi="仿宋" w:eastAsia="仿宋" w:cs="仿宋"/>
          <w:spacing w:val="-2"/>
          <w:sz w:val="31"/>
          <w:szCs w:val="31"/>
        </w:rPr>
        <w:t>Die Anmeldefrist für die Konferenz beträgt März 24, 2023, überfällige Anträge werden grundsätzlich nicht angenommen.</w:t>
      </w:r>
    </w:p>
    <w:p>
      <w:pPr>
        <w:spacing w:line="232" w:lineRule="auto"/>
        <w:ind w:left="640"/>
        <w:rPr>
          <w:rFonts w:ascii="黑体" w:hAnsi="黑体" w:eastAsia="黑体" w:cs="黑体"/>
          <w:sz w:val="31"/>
          <w:szCs w:val="31"/>
        </w:rPr>
      </w:pPr>
      <w:r>
        <w:rPr>
          <w:rFonts w:ascii="黑体" w:hAnsi="黑体" w:eastAsia="黑体" w:cs="黑体"/>
          <w:spacing w:val="-3"/>
          <w:sz w:val="31"/>
          <w:szCs w:val="31"/>
        </w:rPr>
        <w:t>4,Kontaktinformationen</w:t>
      </w:r>
    </w:p>
    <w:p>
      <w:pPr>
        <w:spacing w:before="170" w:line="225" w:lineRule="auto"/>
        <w:ind w:left="621"/>
        <w:rPr>
          <w:rFonts w:ascii="仿宋" w:hAnsi="仿宋" w:eastAsia="仿宋" w:cs="仿宋"/>
          <w:sz w:val="31"/>
          <w:szCs w:val="31"/>
        </w:rPr>
      </w:pPr>
      <w:r>
        <w:rPr>
          <w:rFonts w:ascii="仿宋" w:hAnsi="仿宋" w:eastAsia="仿宋" w:cs="仿宋"/>
          <w:spacing w:val="1"/>
          <w:sz w:val="31"/>
          <w:szCs w:val="31"/>
        </w:rPr>
        <w:t>Ansprechpartner: Ye Xiuwen, Guo Weiyu</w:t>
      </w:r>
    </w:p>
    <w:p>
      <w:pPr>
        <w:spacing w:before="185" w:line="223" w:lineRule="auto"/>
        <w:ind w:left="658"/>
        <w:rPr>
          <w:rFonts w:ascii="Times New Roman" w:hAnsi="Times New Roman" w:eastAsia="Times New Roman" w:cs="Times New Roman"/>
          <w:sz w:val="31"/>
          <w:szCs w:val="31"/>
        </w:rPr>
      </w:pPr>
      <w:r>
        <w:rPr>
          <w:rFonts w:ascii="仿宋" w:hAnsi="仿宋" w:eastAsia="仿宋" w:cs="仿宋"/>
          <w:spacing w:val="-1"/>
          <w:sz w:val="31"/>
          <w:szCs w:val="31"/>
        </w:rPr>
        <w:t>Tel.: 0755 81773047, 0755 81773461</w:t>
      </w:r>
    </w:p>
    <w:p>
      <w:pPr>
        <w:spacing w:before="9" w:line="347" w:lineRule="auto"/>
        <w:ind w:left="635"/>
        <w:rPr>
          <w:rFonts w:ascii="Times New Roman" w:hAnsi="Times New Roman" w:eastAsia="Times New Roman" w:cs="Times New Roman"/>
          <w:sz w:val="31"/>
          <w:szCs w:val="31"/>
        </w:rPr>
      </w:pPr>
      <w:r>
        <w:rPr>
          <w:rFonts w:ascii="仿宋" w:hAnsi="仿宋" w:eastAsia="仿宋" w:cs="仿宋"/>
          <w:spacing w:val="-2"/>
          <w:sz w:val="31"/>
          <w:szCs w:val="31"/>
        </w:rPr>
        <w:t>Email: yexiuwen@ciep.gov.cn</w:t>
      </w:r>
      <w:r>
        <w:fldChar w:fldCharType="begin"/>
      </w:r>
      <w:r>
        <w:instrText xml:space="preserve"> HYPERLINK "mailto:yexiuwen@ciep.gov.cn" </w:instrText>
      </w:r>
      <w:r>
        <w:fldChar w:fldCharType="separate"/>
      </w:r>
      <w:r>
        <w:rPr>
          <w:rFonts w:ascii="Times New Roman" w:hAnsi="Times New Roman" w:eastAsia="Times New Roman" w:cs="Times New Roman"/>
          <w:color w:val="0563C1"/>
          <w:spacing w:val="-1"/>
          <w:sz w:val="31"/>
          <w:szCs w:val="31"/>
          <w:u w:val="single" w:color="auto"/>
        </w:rPr>
        <w:fldChar w:fldCharType="end"/>
      </w:r>
    </w:p>
    <w:p>
      <w:pPr>
        <w:spacing w:before="93" w:line="430" w:lineRule="exact"/>
        <w:ind w:left="1861"/>
        <w:rPr>
          <w:rFonts w:ascii="Times New Roman" w:hAnsi="Times New Roman" w:eastAsia="Times New Roman" w:cs="Times New Roman"/>
          <w:sz w:val="31"/>
          <w:szCs w:val="31"/>
        </w:rPr>
      </w:pPr>
      <w:r>
        <w:rPr>
          <w:rFonts w:ascii="Times New Roman" w:hAnsi="Times New Roman" w:eastAsia="Times New Roman" w:cs="Times New Roman"/>
          <w:spacing w:val="-1"/>
          <w:position w:val="5"/>
          <w:sz w:val="31"/>
          <w:szCs w:val="31"/>
        </w:rPr>
        <w:t>guoweiyu@ciep.gov.cn</w:t>
      </w:r>
    </w:p>
    <w:p>
      <w:pPr>
        <w:sectPr>
          <w:footerReference r:id="rId12" w:type="default"/>
          <w:pgSz w:w="11906" w:h="16839"/>
          <w:pgMar w:top="400" w:right="1595" w:bottom="1876" w:left="1601" w:header="0" w:footer="1716" w:gutter="0"/>
          <w:cols w:space="720" w:num="1"/>
        </w:sectPr>
      </w:pPr>
    </w:p>
    <w:p/>
    <w:sectPr>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5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4"/>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4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08B60D54"/>
    <w:rsid w:val="0DE819AF"/>
    <w:rsid w:val="145768B3"/>
    <w:rsid w:val="251E0AED"/>
    <w:rsid w:val="2802614E"/>
    <w:rsid w:val="4EBB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03808DF441BF4B3CAD065ED23CA422E2</vt:lpwstr>
  </property>
</Properties>
</file>