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211" w:lineRule="auto"/>
        <w:ind w:left="1761" w:right="1350" w:hanging="644"/>
        <w:rPr>
          <w:rFonts w:ascii="微软雅黑" w:hAnsi="微软雅黑" w:eastAsia="微软雅黑" w:cs="微软雅黑"/>
          <w:sz w:val="43"/>
          <w:szCs w:val="43"/>
        </w:rPr>
      </w:pPr>
      <w:bookmarkStart w:id="0" w:name="_GoBack"/>
      <w:r>
        <w:rPr>
          <w:rFonts w:ascii="微软雅黑" w:hAnsi="微软雅黑" w:eastAsia="微软雅黑" w:cs="微软雅黑"/>
          <w:spacing w:val="1"/>
          <w:sz w:val="43"/>
          <w:szCs w:val="43"/>
        </w:rPr>
        <w:t>Organisation und Umsetzungsplan für das 21ste China International Talent Exchange Forum</w:t>
      </w:r>
    </w:p>
    <w:p>
      <w:pPr>
        <w:spacing w:line="397" w:lineRule="auto"/>
        <w:rPr>
          <w:rFonts w:ascii="Arial"/>
          <w:sz w:val="21"/>
        </w:rPr>
      </w:pPr>
    </w:p>
    <w:p>
      <w:pPr>
        <w:spacing w:before="101" w:line="333" w:lineRule="auto"/>
        <w:ind w:firstLine="620"/>
        <w:rPr>
          <w:rFonts w:ascii="仿宋" w:hAnsi="仿宋" w:eastAsia="仿宋" w:cs="仿宋"/>
          <w:sz w:val="31"/>
          <w:szCs w:val="31"/>
        </w:rPr>
      </w:pPr>
      <w:r>
        <w:rPr>
          <w:rFonts w:ascii="仿宋" w:hAnsi="仿宋" w:eastAsia="仿宋" w:cs="仿宋"/>
          <w:spacing w:val="-10"/>
          <w:sz w:val="31"/>
          <w:szCs w:val="31"/>
        </w:rPr>
        <w:t>Gemäß dem Gesamtarbeitsplan der 21sten China International Talent Exchange Conference zielt die Konferenz darauf ab, eine "Rostra" und eine "Voicebox" auf dem Gebiet der internationalen wissenschaftlichen und technologischen Innovationszusammenarbeit und des internationalen Talentaustauschs aufzubauen und strebt den Aufbau eines Forums und Konferenzsystems an, das vom Shenzhen Forum geleitet wird, in dem parallele Foren (Berufsforen) und Sonderkonferenzen Hand in Hand gehen. Das Shenzhen Forum, mit dem Hintergrund der Förderung beiderseitig vorteilhafter und Win-Win-internationaler wissenschaftlicher und technologischer Innovationszusammenarbeit und des Talentaustauschs in einer offenen Umgebung, konzentriert sich auf die Stärkung der nationalen strategischen wissenschaftlichen und technologischen Stärke, den Aufbau weltwichtiger Talentzentren und Innovationshochländer, die Verbesserung der technologischen Innovationsfähigkeiten des Unternehmens, die Stimulierung der Talentinnovationsvitalität und die Verbesserung des wissenschaftlichen und technologischen Innovationssystems und -mechanismus. Berühmte Unternehmer nahmen teil und führten Diskussionen und Austausch. Parallele Foren (Fachforen) und Sonderkonferenzen konzentrieren sich auf Schlüsselarbeiten und heiße Themen in der wissenschaftlichen und technologischen Zusammenarbeit, Talentaustausch, internationalem Umweltbau, grüner kohlenstoffarmer, ländlicher Revitalisierung, Wissenschafts- und Technologiefinanzierung, Integration von Innovationsketten, disruptiver Technologieforschung und anderen Bereichen rund um Schlüsselbereiche der wirtschaftlichen und sozialen Entwicklung und laden relevante Mitarbeiter von Regierungsabteilungen, Experten, Wissenschaftlern, Fachleuten ein, Richtlinien zu veröffentlichen Förderung der Umwelt, Austausch von Ideen, Förderung von Konzepten und Erfahrungsaustausch.</w:t>
      </w:r>
    </w:p>
    <w:p>
      <w:pPr>
        <w:spacing w:line="513" w:lineRule="exact"/>
        <w:ind w:left="629"/>
        <w:rPr>
          <w:rFonts w:ascii="黑体" w:hAnsi="黑体" w:eastAsia="黑体" w:cs="黑体"/>
          <w:sz w:val="31"/>
          <w:szCs w:val="31"/>
        </w:rPr>
      </w:pPr>
      <w:r>
        <w:rPr>
          <w:rFonts w:ascii="黑体" w:hAnsi="黑体" w:eastAsia="黑体" w:cs="黑体"/>
          <w:spacing w:val="-1"/>
          <w:position w:val="4"/>
          <w:sz w:val="31"/>
          <w:szCs w:val="31"/>
        </w:rPr>
        <w:t>1,Forumszeit</w:t>
      </w:r>
    </w:p>
    <w:p>
      <w:pPr>
        <w:spacing w:before="47" w:line="344" w:lineRule="auto"/>
        <w:ind w:left="8" w:right="378" w:firstLine="625"/>
        <w:rPr>
          <w:rFonts w:ascii="仿宋" w:hAnsi="仿宋" w:eastAsia="仿宋" w:cs="仿宋"/>
          <w:sz w:val="31"/>
          <w:szCs w:val="31"/>
        </w:rPr>
      </w:pPr>
      <w:r>
        <w:rPr>
          <w:rFonts w:ascii="仿宋" w:hAnsi="仿宋" w:eastAsia="仿宋" w:cs="仿宋"/>
          <w:spacing w:val="-12"/>
          <w:sz w:val="31"/>
          <w:szCs w:val="31"/>
        </w:rPr>
        <w:t xml:space="preserve">Es ist geplant, unregelmäßig von April 15.bis 16th während der Hauptsitzung der Konferenz sowie von der Eröffnung der Konferenz bis Ende des Jahres stattfinden. Bitte beachten Sie die Ankündigung auf der offiziellen Website der Konferenz für die spezifische Situation jedes Forums.</w:t>
      </w:r>
    </w:p>
    <w:p>
      <w:pPr>
        <w:sectPr>
          <w:footerReference r:id="rId5" w:type="default"/>
          <w:pgSz w:w="11906" w:h="16839"/>
          <w:pgMar w:top="400" w:right="1373" w:bottom="1876" w:left="1598" w:header="0" w:footer="171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416" w:lineRule="exact"/>
        <w:ind w:left="635"/>
        <w:rPr>
          <w:rFonts w:ascii="黑体" w:hAnsi="黑体" w:eastAsia="黑体" w:cs="黑体"/>
          <w:sz w:val="31"/>
          <w:szCs w:val="31"/>
        </w:rPr>
      </w:pPr>
      <w:r>
        <w:rPr>
          <w:rFonts w:ascii="黑体" w:hAnsi="黑体" w:eastAsia="黑体" w:cs="黑体"/>
          <w:spacing w:val="-1"/>
          <w:position w:val="2"/>
          <w:sz w:val="31"/>
          <w:szCs w:val="31"/>
        </w:rPr>
        <w:t>2,Hauptinhalt</w:t>
      </w:r>
    </w:p>
    <w:p>
      <w:pPr>
        <w:spacing w:before="142" w:line="231" w:lineRule="auto"/>
        <w:ind w:left="655"/>
        <w:rPr>
          <w:rFonts w:ascii="楷体" w:hAnsi="楷体" w:eastAsia="楷体" w:cs="楷体"/>
          <w:sz w:val="31"/>
          <w:szCs w:val="31"/>
        </w:rPr>
      </w:pPr>
      <w:r>
        <w:rPr>
          <w:rFonts w:ascii="楷体" w:hAnsi="楷体" w:eastAsia="楷体" w:cs="楷体"/>
          <w:spacing w:val="21"/>
          <w:sz w:val="31"/>
          <w:szCs w:val="31"/>
        </w:rPr>
        <w:t>(1) Shenzhen Forum</w:t>
      </w:r>
    </w:p>
    <w:p>
      <w:pPr>
        <w:spacing w:before="174" w:line="333" w:lineRule="auto"/>
        <w:ind w:left="1" w:firstLine="635"/>
        <w:rPr>
          <w:rFonts w:ascii="仿宋" w:hAnsi="仿宋" w:eastAsia="仿宋" w:cs="仿宋"/>
          <w:sz w:val="31"/>
          <w:szCs w:val="31"/>
        </w:rPr>
      </w:pPr>
      <w:r>
        <w:rPr>
          <w:rFonts w:ascii="仿宋" w:hAnsi="仿宋" w:eastAsia="仿宋" w:cs="仿宋"/>
          <w:spacing w:val="1"/>
          <w:sz w:val="31"/>
          <w:szCs w:val="31"/>
        </w:rPr>
        <w:t>Das Shenzhen Forum ist der Kern des Konferenzforumsystems. Das Forum konzentriert sich auf wichtige Themen wie die Stärkung nationaler strategischer wissenschaftlicher und technologischer Fähigkeiten, den Aufbau eines weltweit wichtigen Talentzentrums und Innovationshochlandes, die Verbesserung der technologischen Innovationsfähigkeiten von Unternehmen, die Stimulierung der Innovationsvitalität von Talenten und die Verbesserung des wissenschaftlichen und technologischen Innovationssystems und -mechanismus. Relevante Führungskräfte, ausländische Experten, Spitzenwissenschaftler und namhafte Unternehmer sind eingeladen, an Diskussionen und Austausch teilzunehmen und zu führen.</w:t>
      </w:r>
    </w:p>
    <w:p>
      <w:pPr>
        <w:spacing w:before="4" w:line="333" w:lineRule="auto"/>
        <w:ind w:left="11" w:firstLine="619"/>
        <w:rPr>
          <w:rFonts w:ascii="楷体" w:hAnsi="楷体" w:eastAsia="楷体" w:cs="楷体"/>
          <w:sz w:val="31"/>
          <w:szCs w:val="31"/>
        </w:rPr>
      </w:pPr>
      <w:r>
        <w:rPr>
          <w:rFonts w:ascii="仿宋" w:hAnsi="仿宋" w:eastAsia="仿宋" w:cs="仿宋"/>
          <w:spacing w:val="-20"/>
          <w:sz w:val="31"/>
          <w:szCs w:val="31"/>
        </w:rPr>
        <w:t>Das Shenzhen Forum dieser Konferenz plant, den "International Science and Technology Innovation City Summit" abzuhalten, wobei Führungskräfte des Ministeriums für Wissenschaft und Technologie eingeladen werden, Keynote Reden zu halten, und Führungskräfte (Beamte) der Weltorganisation für geistiges Eigentum, Peking, Shanghai, der Guangdong Hong Kong Macao Greater Bay Area und der großen Innovationsstädte auf der ganzen Welt, Keynote Reden zu halten Geleitet von relevanten Abteilungen des Ministeriums für Wissenschaft und Technologie, durchgeführt vom China International Talent Exchange Center</w:t>
      </w:r>
    </w:p>
    <w:p>
      <w:pPr>
        <w:spacing w:line="229" w:lineRule="auto"/>
        <w:ind w:left="655"/>
        <w:rPr>
          <w:rFonts w:ascii="楷体" w:hAnsi="楷体" w:eastAsia="楷体" w:cs="楷体"/>
          <w:sz w:val="31"/>
          <w:szCs w:val="31"/>
        </w:rPr>
      </w:pPr>
      <w:r>
        <w:rPr>
          <w:rFonts w:ascii="楷体" w:hAnsi="楷体" w:eastAsia="楷体" w:cs="楷体"/>
          <w:spacing w:val="9"/>
          <w:sz w:val="31"/>
          <w:szCs w:val="31"/>
        </w:rPr>
        <w:t>(2) Parallelforum (Fachforum)</w:t>
      </w:r>
    </w:p>
    <w:p>
      <w:pPr>
        <w:spacing w:before="178" w:line="333" w:lineRule="auto"/>
        <w:ind w:firstLine="635"/>
        <w:rPr>
          <w:rFonts w:ascii="仿宋" w:hAnsi="仿宋" w:eastAsia="仿宋" w:cs="仿宋"/>
          <w:sz w:val="31"/>
          <w:szCs w:val="31"/>
        </w:rPr>
      </w:pPr>
      <w:r>
        <w:rPr>
          <w:rFonts w:ascii="仿宋" w:hAnsi="仿宋" w:eastAsia="仿宋" w:cs="仿宋"/>
          <w:spacing w:val="1"/>
          <w:sz w:val="31"/>
          <w:szCs w:val="31"/>
        </w:rPr>
        <w:t>Das parallele Forum (Fachforum) konzentriert sich auf Schlüsselarbeiten und heiße Themen in der wissenschaftlichen und technologischen Zusammenarbeit, dem Talentaustausch, dem internationalen Umweltbau, dem grünen Low-Carbon-Bereich, der Wissenschafts- und Technologiefinanzierung, der Integration der Innovationskettenindustrie, der disruptiven Technologieforschung und anderen Bereichen und lädt Regierungsabteilungen, Hochschulen und Industriegäste ein, zu diskutieren und auszutauschen.</w:t>
      </w:r>
    </w:p>
    <w:p>
      <w:pPr>
        <w:spacing w:before="7" w:line="337" w:lineRule="auto"/>
        <w:ind w:firstLine="630"/>
        <w:rPr>
          <w:rFonts w:ascii="楷体" w:hAnsi="楷体" w:eastAsia="楷体" w:cs="楷体"/>
          <w:sz w:val="31"/>
          <w:szCs w:val="31"/>
        </w:rPr>
      </w:pPr>
      <w:r>
        <w:rPr>
          <w:rFonts w:ascii="仿宋" w:hAnsi="仿宋" w:eastAsia="仿宋" w:cs="仿宋"/>
          <w:spacing w:val="1"/>
          <w:sz w:val="31"/>
          <w:szCs w:val="31"/>
        </w:rPr>
        <w:t>Das parallele Forum dieser Konferenz wird auch weiterhin international einflussreiche Markenforen wie das Forum on Science and Technology Innovation to Support Rural Revitalization and Development (die dritte Sitzung) und das Internationale Forum on Project Management (die zehnte Sitzung) abhalten und hochkarätige in- und ausländische Wissenschaftler einladen, an einschlägigen Foren teilzunehmen, die auf dem Prinzip der "Fokussierung auf nationale Strategien und internationale nicht sensible Themen" beruhen. Organisation junger und mittlerer Forscher im In- und Ausland zur Teilnahme an einschlägigen Foren zu fachlichen Themen Übernahme durch die zuständigen Abteilungen und Büros des Ministeriums für Wissenschaft und Technologie sowie die zuständigen kooperativen Einheiten der Konferenz</w:t>
      </w:r>
    </w:p>
    <w:p>
      <w:pPr>
        <w:sectPr>
          <w:footerReference r:id="rId6" w:type="default"/>
          <w:pgSz w:w="11906" w:h="16839"/>
          <w:pgMar w:top="400" w:right="1598" w:bottom="1876" w:left="1592" w:header="0" w:footer="171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231" w:lineRule="auto"/>
        <w:ind w:left="652"/>
        <w:rPr>
          <w:rFonts w:ascii="楷体" w:hAnsi="楷体" w:eastAsia="楷体" w:cs="楷体"/>
          <w:sz w:val="31"/>
          <w:szCs w:val="31"/>
        </w:rPr>
      </w:pPr>
      <w:r>
        <w:rPr>
          <w:rFonts w:ascii="楷体" w:hAnsi="楷体" w:eastAsia="楷体" w:cs="楷体"/>
          <w:spacing w:val="18"/>
          <w:sz w:val="31"/>
          <w:szCs w:val="31"/>
        </w:rPr>
        <w:t>(3) Sondertagung</w:t>
      </w:r>
    </w:p>
    <w:p>
      <w:pPr>
        <w:spacing w:before="170" w:line="334" w:lineRule="auto"/>
        <w:ind w:left="5" w:right="92" w:firstLine="631"/>
        <w:rPr>
          <w:rFonts w:ascii="仿宋" w:hAnsi="仿宋" w:eastAsia="仿宋" w:cs="仿宋"/>
          <w:sz w:val="31"/>
          <w:szCs w:val="31"/>
        </w:rPr>
      </w:pPr>
      <w:r>
        <w:rPr>
          <w:rFonts w:ascii="仿宋" w:hAnsi="仿宋" w:eastAsia="仿宋" w:cs="仿宋"/>
          <w:spacing w:val="1"/>
          <w:sz w:val="31"/>
          <w:szCs w:val="31"/>
        </w:rPr>
        <w:t>Das Sondertreffen konzentriert sich auf die wichtigsten und schwierigen Punkte in der technologischen Innovation und Talentarbeit, lädt Technologiemanagement-Abteilungen, Berufsverbände, Vereine und soziale Kräfte ein, politische Konferenzen, Seminare und Symposien in relevanten Bereichen abzuhalten und lädt relevante Fachleute ein, zu diskutieren.</w:t>
      </w:r>
    </w:p>
    <w:p>
      <w:pPr>
        <w:spacing w:before="3" w:line="333" w:lineRule="auto"/>
        <w:ind w:firstLine="626"/>
        <w:rPr>
          <w:rFonts w:ascii="楷体" w:hAnsi="楷体" w:eastAsia="楷体" w:cs="楷体"/>
          <w:sz w:val="31"/>
          <w:szCs w:val="31"/>
        </w:rPr>
      </w:pPr>
      <w:r>
        <w:rPr>
          <w:rFonts w:ascii="仿宋" w:hAnsi="仿宋" w:eastAsia="仿宋" w:cs="仿宋"/>
          <w:spacing w:val="1"/>
          <w:sz w:val="31"/>
          <w:szCs w:val="31"/>
        </w:rPr>
        <w:t>Diese Konferenz wird einen Mechanismus zur Veröffentlichung von Politiken einrichten, in dem nationale und lokale Politikdokumente und Forschungsberichte im Zusammenhang mit wissenschaftlicher und technologischer Innovation, Talentaustausch und dem Aufbau eines offenen Innovationsökosystems veröffentlicht werden; Nutzung der Möglichkeit für relevante Mitarbeiter des Ministeriums für Wissenschaft und Technologie und verschiedener lokaler Wissenschafts- und Technologieabteilungen (Ausschüsse, Büros), sich während der Konferenz in Shenzhen zu versammeln, um verschiedene politische Seminare abzuhalten, die Referenzen für die Umsetzung der Politik bieten; In Verbindung mit der Veröffentlichung von Richtlinien werden Sitzungen, Vorträge und Symposien gleichzeitig stattfinden Übernahme durch die zuständigen Abteilungen und Büros des Ministeriums für Wissenschaft und Technologie sowie die zuständigen kooperativen Einheiten der Konferenz</w:t>
      </w:r>
    </w:p>
    <w:p>
      <w:pPr>
        <w:spacing w:before="1"/>
        <w:ind w:left="633"/>
        <w:rPr>
          <w:rFonts w:ascii="黑体" w:hAnsi="黑体" w:eastAsia="黑体" w:cs="黑体"/>
          <w:sz w:val="31"/>
          <w:szCs w:val="31"/>
        </w:rPr>
      </w:pPr>
      <w:r>
        <w:rPr>
          <w:rFonts w:ascii="黑体" w:hAnsi="黑体" w:eastAsia="黑体" w:cs="黑体"/>
          <w:spacing w:val="-1"/>
          <w:sz w:val="31"/>
          <w:szCs w:val="31"/>
        </w:rPr>
        <w:t>3,Beteiligungsmethoden</w:t>
      </w:r>
    </w:p>
    <w:p>
      <w:pPr>
        <w:spacing w:before="154" w:line="234" w:lineRule="auto"/>
        <w:ind w:left="652"/>
        <w:rPr>
          <w:rFonts w:ascii="楷体" w:hAnsi="楷体" w:eastAsia="楷体" w:cs="楷体"/>
          <w:sz w:val="31"/>
          <w:szCs w:val="31"/>
        </w:rPr>
      </w:pPr>
      <w:r>
        <w:rPr>
          <w:rFonts w:ascii="楷体" w:hAnsi="楷体" w:eastAsia="楷体" w:cs="楷体"/>
          <w:spacing w:val="21"/>
          <w:sz w:val="31"/>
          <w:szCs w:val="31"/>
        </w:rPr>
        <w:t>(1) Berichtsplan</w:t>
      </w:r>
    </w:p>
    <w:p>
      <w:pPr>
        <w:spacing w:before="171" w:line="333" w:lineRule="auto"/>
        <w:ind w:left="1" w:right="90" w:firstLine="625"/>
        <w:rPr>
          <w:rFonts w:ascii="仿宋" w:hAnsi="仿宋" w:eastAsia="仿宋" w:cs="仿宋"/>
          <w:sz w:val="31"/>
          <w:szCs w:val="31"/>
        </w:rPr>
      </w:pPr>
      <w:r>
        <w:rPr>
          <w:rFonts w:ascii="仿宋" w:hAnsi="仿宋" w:eastAsia="仿宋" w:cs="仿宋"/>
          <w:spacing w:val="-8"/>
          <w:sz w:val="31"/>
          <w:szCs w:val="31"/>
        </w:rPr>
        <w:t>Bitte kontaktieren Sie die Arbeitsgruppen des Organisationskomitees der Konferenz in Peking oder Shenzhen vor dem zehnten März und reichen Sie Pläne und relevante Dokumente für die wichtigsten Organisatoren ein, die daran interessiert sind, Forentreffen während der Konferenz durchzuführen.</w:t>
      </w:r>
    </w:p>
    <w:p>
      <w:pPr>
        <w:spacing w:line="232" w:lineRule="auto"/>
        <w:ind w:left="652"/>
        <w:rPr>
          <w:rFonts w:ascii="楷体" w:hAnsi="楷体" w:eastAsia="楷体" w:cs="楷体"/>
          <w:sz w:val="31"/>
          <w:szCs w:val="31"/>
        </w:rPr>
      </w:pPr>
      <w:r>
        <w:rPr>
          <w:rFonts w:ascii="楷体" w:hAnsi="楷体" w:eastAsia="楷体" w:cs="楷体"/>
          <w:spacing w:val="21"/>
          <w:sz w:val="31"/>
          <w:szCs w:val="31"/>
        </w:rPr>
        <w:t>(2) Bestimmen Sie den Veranstaltungsort</w:t>
      </w:r>
    </w:p>
    <w:p>
      <w:pPr>
        <w:spacing w:before="172" w:line="333" w:lineRule="auto"/>
        <w:ind w:left="5" w:right="92" w:firstLine="621"/>
        <w:rPr>
          <w:rFonts w:ascii="仿宋" w:hAnsi="仿宋" w:eastAsia="仿宋" w:cs="仿宋"/>
          <w:sz w:val="31"/>
          <w:szCs w:val="31"/>
        </w:rPr>
      </w:pPr>
      <w:r>
        <w:rPr>
          <w:rFonts w:ascii="仿宋" w:hAnsi="仿宋" w:eastAsia="仿宋" w:cs="仿宋"/>
          <w:spacing w:val="1"/>
          <w:sz w:val="31"/>
          <w:szCs w:val="31"/>
        </w:rPr>
        <w:t>Bitte bestätigen Sie, dass der Hauptorganisator des Forumstreffens sich vor dem zehnten März mit der Shenzhen Arbeitsgruppe des Organisationskomitees der Konferenz in Verbindung setzen sollte, um den Veranstaltungsort festzulegen und die entsprechenden Gebühren rechtzeitig zu bezahlen.</w:t>
      </w:r>
    </w:p>
    <w:p>
      <w:pPr>
        <w:spacing w:line="232" w:lineRule="auto"/>
        <w:ind w:left="645"/>
        <w:rPr>
          <w:rFonts w:ascii="黑体" w:hAnsi="黑体" w:eastAsia="黑体" w:cs="黑体"/>
          <w:sz w:val="31"/>
          <w:szCs w:val="31"/>
        </w:rPr>
      </w:pPr>
      <w:r>
        <w:rPr>
          <w:rFonts w:ascii="黑体" w:hAnsi="黑体" w:eastAsia="黑体" w:cs="黑体"/>
          <w:spacing w:val="-5"/>
          <w:sz w:val="31"/>
          <w:szCs w:val="31"/>
        </w:rPr>
        <w:t>4,Kontaktinformationen</w:t>
      </w:r>
    </w:p>
    <w:p>
      <w:pPr>
        <w:spacing w:before="172" w:line="220" w:lineRule="auto"/>
        <w:ind w:left="640"/>
        <w:rPr>
          <w:rFonts w:ascii="仿宋" w:hAnsi="仿宋" w:eastAsia="仿宋" w:cs="仿宋"/>
          <w:sz w:val="31"/>
          <w:szCs w:val="31"/>
        </w:rPr>
      </w:pPr>
      <w:r>
        <w:rPr>
          <w:rFonts w:ascii="仿宋" w:hAnsi="仿宋" w:eastAsia="仿宋" w:cs="仿宋"/>
          <w:spacing w:val="-1"/>
          <w:sz w:val="31"/>
          <w:szCs w:val="31"/>
        </w:rPr>
        <w:t>Peking Arbeitsgruppe des Organisationskomitees der Konferenz</w:t>
      </w:r>
    </w:p>
    <w:p>
      <w:pPr>
        <w:spacing w:before="191" w:line="225" w:lineRule="auto"/>
        <w:ind w:left="626"/>
        <w:rPr>
          <w:rFonts w:ascii="仿宋" w:hAnsi="仿宋" w:eastAsia="仿宋" w:cs="仿宋"/>
          <w:sz w:val="31"/>
          <w:szCs w:val="31"/>
        </w:rPr>
      </w:pPr>
      <w:r>
        <w:rPr>
          <w:rFonts w:ascii="仿宋" w:hAnsi="仿宋" w:eastAsia="仿宋" w:cs="仿宋"/>
          <w:spacing w:val="1"/>
          <w:sz w:val="31"/>
          <w:szCs w:val="31"/>
        </w:rPr>
        <w:t>Ansprechpartner: Wang Qi, Guo Yan</w:t>
      </w:r>
    </w:p>
    <w:p>
      <w:pPr>
        <w:sectPr>
          <w:footerReference r:id="rId7" w:type="default"/>
          <w:pgSz w:w="11906" w:h="16839"/>
          <w:pgMar w:top="400" w:right="1507" w:bottom="1876" w:left="1596" w:header="0" w:footer="1716" w:gutter="0"/>
          <w:cols w:space="720" w:num="1"/>
        </w:sect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0" w:line="501" w:lineRule="exact"/>
        <w:ind w:left="474"/>
        <w:rPr>
          <w:rFonts w:ascii="Times New Roman" w:hAnsi="Times New Roman" w:eastAsia="Times New Roman" w:cs="Times New Roman"/>
          <w:sz w:val="31"/>
          <w:szCs w:val="31"/>
        </w:rPr>
      </w:pPr>
      <w:r>
        <w:rPr>
          <w:rFonts w:ascii="仿宋" w:hAnsi="仿宋" w:eastAsia="仿宋" w:cs="仿宋"/>
          <w:spacing w:val="-6"/>
          <w:position w:val="13"/>
          <w:sz w:val="31"/>
          <w:szCs w:val="31"/>
        </w:rPr>
        <w:t>Tel.: 010-58882132100-58882089</w:t>
      </w:r>
    </w:p>
    <w:p>
      <w:pPr>
        <w:spacing w:line="429" w:lineRule="exact"/>
        <w:ind w:left="450"/>
        <w:rPr>
          <w:rFonts w:ascii="Times New Roman" w:hAnsi="Times New Roman" w:eastAsia="Times New Roman" w:cs="Times New Roman"/>
          <w:sz w:val="31"/>
          <w:szCs w:val="31"/>
        </w:rPr>
      </w:pPr>
      <w:r>
        <w:rPr>
          <w:rFonts w:ascii="仿宋" w:hAnsi="仿宋" w:eastAsia="仿宋" w:cs="仿宋"/>
          <w:spacing w:val="-2"/>
          <w:position w:val="4"/>
          <w:sz w:val="31"/>
          <w:szCs w:val="31"/>
        </w:rPr>
        <w:t>Email: guoyan@ciep.gov.cn</w:t>
      </w:r>
    </w:p>
    <w:p>
      <w:pPr>
        <w:spacing w:before="189" w:line="220" w:lineRule="auto"/>
        <w:ind w:left="450"/>
        <w:rPr>
          <w:rFonts w:ascii="仿宋" w:hAnsi="仿宋" w:eastAsia="仿宋" w:cs="仿宋"/>
          <w:sz w:val="31"/>
          <w:szCs w:val="31"/>
        </w:rPr>
      </w:pPr>
      <w:r>
        <w:rPr>
          <w:rFonts w:ascii="仿宋" w:hAnsi="仿宋" w:eastAsia="仿宋" w:cs="仿宋"/>
          <w:spacing w:val="-1"/>
          <w:sz w:val="31"/>
          <w:szCs w:val="31"/>
        </w:rPr>
        <w:t>Shenzhen Arbeitsgruppe des Organisationskomitees der Konferenz</w:t>
      </w:r>
    </w:p>
    <w:p>
      <w:pPr>
        <w:spacing w:before="191" w:line="225" w:lineRule="auto"/>
        <w:ind w:left="436"/>
        <w:rPr>
          <w:rFonts w:ascii="仿宋" w:hAnsi="仿宋" w:eastAsia="仿宋" w:cs="仿宋"/>
          <w:sz w:val="31"/>
          <w:szCs w:val="31"/>
        </w:rPr>
      </w:pPr>
      <w:r>
        <w:rPr>
          <w:rFonts w:ascii="仿宋" w:hAnsi="仿宋" w:eastAsia="仿宋" w:cs="仿宋"/>
          <w:spacing w:val="1"/>
          <w:sz w:val="31"/>
          <w:szCs w:val="31"/>
        </w:rPr>
        <w:t>Ansprechpartner: Ye Xiuwen, Guo Weiyu</w:t>
      </w:r>
    </w:p>
    <w:p>
      <w:pPr>
        <w:spacing w:before="181" w:line="501" w:lineRule="exact"/>
        <w:ind w:left="474"/>
        <w:rPr>
          <w:rFonts w:ascii="Times New Roman" w:hAnsi="Times New Roman" w:eastAsia="Times New Roman" w:cs="Times New Roman"/>
          <w:sz w:val="31"/>
          <w:szCs w:val="31"/>
        </w:rPr>
      </w:pPr>
      <w:r>
        <w:rPr>
          <w:rFonts w:ascii="仿宋" w:hAnsi="仿宋" w:eastAsia="仿宋" w:cs="仿宋"/>
          <w:spacing w:val="-1"/>
          <w:position w:val="13"/>
          <w:sz w:val="31"/>
          <w:szCs w:val="31"/>
        </w:rPr>
        <w:t>Tel.: 0755 81773047, 0755 81773461</w:t>
      </w:r>
    </w:p>
    <w:p>
      <w:pPr>
        <w:spacing w:line="429" w:lineRule="exact"/>
        <w:ind w:left="450"/>
        <w:rPr>
          <w:rFonts w:ascii="Times New Roman" w:hAnsi="Times New Roman" w:eastAsia="Times New Roman" w:cs="Times New Roman"/>
          <w:sz w:val="31"/>
          <w:szCs w:val="31"/>
        </w:rPr>
      </w:pPr>
      <w:r>
        <w:rPr>
          <w:rFonts w:ascii="仿宋" w:hAnsi="仿宋" w:eastAsia="仿宋" w:cs="仿宋"/>
          <w:spacing w:val="-2"/>
          <w:position w:val="4"/>
          <w:sz w:val="31"/>
          <w:szCs w:val="31"/>
        </w:rPr>
        <w:t>Email: yexiuwen@ciep.gov.cn</w:t>
      </w:r>
    </w:p>
    <w:p>
      <w:pPr>
        <w:spacing w:before="132" w:line="429" w:lineRule="exact"/>
        <w:ind w:left="1677"/>
        <w:rPr>
          <w:rFonts w:ascii="Times New Roman" w:hAnsi="Times New Roman" w:eastAsia="Times New Roman" w:cs="Times New Roman"/>
          <w:sz w:val="31"/>
          <w:szCs w:val="31"/>
        </w:rPr>
      </w:pPr>
      <w:r>
        <w:rPr>
          <w:rFonts w:ascii="Times New Roman" w:hAnsi="Times New Roman" w:eastAsia="Times New Roman" w:cs="Times New Roman"/>
          <w:spacing w:val="-1"/>
          <w:position w:val="5"/>
          <w:sz w:val="31"/>
          <w:szCs w:val="31"/>
        </w:rPr>
        <w:t>guoweiyu@ciep.gov.cn</w:t>
      </w:r>
    </w:p>
    <w:p>
      <w:pPr>
        <w:sectPr>
          <w:footerReference r:id="rId8" w:type="default"/>
          <w:pgSz w:w="11906" w:h="16839"/>
          <w:pgMar w:top="400" w:right="1785" w:bottom="1876" w:left="1785" w:header="0" w:footer="1716" w:gutter="0"/>
          <w:cols w:space="720" w:num="1"/>
        </w:sectPr>
      </w:pPr>
    </w:p>
    <w:p/>
    <w:bookmarkEnd w:id="0"/>
    <w:sectPr>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72"/>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4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48"/>
      <w:rPr>
        <w:rFonts w:ascii="Times New Roman" w:hAnsi="Times New Roman" w:eastAsia="Times New Roman" w:cs="Times New Roman"/>
        <w:sz w:val="17"/>
        <w:szCs w:val="17"/>
      </w:rPr>
    </w:pPr>
    <w:r>
      <w:rPr>
        <w:rFonts w:ascii="Times New Roman" w:hAnsi="Times New Roman" w:eastAsia="Times New Roman" w:cs="Times New Roman"/>
        <w:spacing w:val="-8"/>
        <w:sz w:val="17"/>
        <w:szCs w:val="17"/>
      </w:rPr>
      <w:t>1</w:t>
    </w:r>
    <w:r>
      <w:rPr>
        <w:rFonts w:ascii="Times New Roman" w:hAnsi="Times New Roman" w:eastAsia="Times New Roman" w:cs="Times New Roman"/>
        <w:spacing w:val="-7"/>
        <w:sz w:val="17"/>
        <w:szCs w:val="17"/>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55"/>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79"/>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ZTIxYjNiNzUxMzkxMjQ2MDcyZTczMmJmZTI1ODcifQ=="/>
  </w:docVars>
  <w:rsids>
    <w:rsidRoot w:val="145768B3"/>
    <w:rsid w:val="080C528C"/>
    <w:rsid w:val="145768B3"/>
    <w:rsid w:val="2802614E"/>
    <w:rsid w:val="4EBB0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2023-03-27T09:38:00Z</dcterms:created>
  <dc:creator>会开小飞机~滴贝塔</dc:creator>
  <cp:lastModifiedBy>会开小飞机~滴贝塔</cp:lastModifiedBy>
  <dcterms:modified xsi:type="dcterms:W3CDTF">2023-03-27T09:40:55Z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B560AEFAA3C34EC680CB0474D5F8EC2E</vt:lpwstr>
  </property>
</Properties>
</file>