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191" w:lineRule="auto"/>
        <w:ind w:left="89"/>
        <w:rPr>
          <w:rFonts w:ascii="黑体" w:hAnsi="黑体" w:eastAsia="黑体" w:cs="黑体"/>
          <w:sz w:val="33"/>
          <w:szCs w:val="33"/>
        </w:rPr>
      </w:pPr>
      <w:r>
        <w:rPr>
          <w:rFonts w:ascii="黑体" w:hAnsi="黑体" w:eastAsia="黑体" w:cs="黑体"/>
          <w:b/>
          <w:bCs/>
          <w:spacing w:val="11"/>
          <w:sz w:val="33"/>
          <w:szCs w:val="33"/>
        </w:rPr>
        <w:t>Anlage 1</w:t>
      </w:r>
    </w:p>
    <w:p>
      <w:pPr>
        <w:spacing w:line="221" w:lineRule="auto"/>
        <w:ind w:left="3411"/>
        <w:rPr>
          <w:rFonts w:ascii="宋体" w:hAnsi="宋体" w:eastAsia="宋体" w:cs="宋体"/>
          <w:sz w:val="44"/>
          <w:szCs w:val="44"/>
        </w:rPr>
      </w:pPr>
      <w:r>
        <w:rPr>
          <w:rFonts w:ascii="宋体" w:hAnsi="宋体" w:eastAsia="宋体" w:cs="宋体"/>
          <w:b/>
          <w:bCs/>
          <w:spacing w:val="-7"/>
          <w:sz w:val="44"/>
          <w:szCs w:val="44"/>
        </w:rPr>
        <w:t>Vorgeschlagene Route für "doppelte Einstellung und doppelte Beratung" im Ausland</w:t>
      </w:r>
    </w:p>
    <w:p/>
    <w:p>
      <w:pPr>
        <w:spacing w:line="222" w:lineRule="exact"/>
      </w:pPr>
    </w:p>
    <w:tbl>
      <w:tblPr>
        <w:tblStyle w:val="4"/>
        <w:tblW w:w="13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379"/>
        <w:gridCol w:w="1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4" w:type="dxa"/>
            <w:vAlign w:val="top"/>
          </w:tcPr>
          <w:p>
            <w:pPr>
              <w:spacing w:before="162" w:line="221" w:lineRule="auto"/>
              <w:ind w:left="238"/>
              <w:rPr>
                <w:rFonts w:ascii="宋体" w:hAnsi="宋体" w:eastAsia="宋体" w:cs="宋体"/>
                <w:sz w:val="22"/>
                <w:szCs w:val="22"/>
              </w:rPr>
            </w:pPr>
            <w:r>
              <w:rPr>
                <w:rFonts w:ascii="宋体" w:hAnsi="宋体" w:eastAsia="宋体" w:cs="宋体"/>
                <w:b/>
                <w:bCs/>
                <w:spacing w:val="-5"/>
                <w:sz w:val="22"/>
                <w:szCs w:val="22"/>
              </w:rPr>
              <w:t>Seriennummer</w:t>
            </w:r>
          </w:p>
        </w:tc>
        <w:tc>
          <w:tcPr>
            <w:tcW w:w="1379" w:type="dxa"/>
            <w:vAlign w:val="top"/>
          </w:tcPr>
          <w:p>
            <w:pPr>
              <w:spacing w:before="164" w:line="220" w:lineRule="auto"/>
              <w:ind w:left="370"/>
              <w:rPr>
                <w:rFonts w:ascii="宋体" w:hAnsi="宋体" w:eastAsia="宋体" w:cs="宋体"/>
                <w:sz w:val="22"/>
                <w:szCs w:val="22"/>
              </w:rPr>
            </w:pPr>
            <w:r>
              <w:rPr>
                <w:rFonts w:ascii="宋体" w:hAnsi="宋体" w:eastAsia="宋体" w:cs="宋体"/>
                <w:spacing w:val="5"/>
                <w:sz w:val="22"/>
                <w:szCs w:val="22"/>
              </w:rPr>
              <w:t>Programm</w:t>
            </w:r>
          </w:p>
        </w:tc>
        <w:tc>
          <w:tcPr>
            <w:tcW w:w="11236" w:type="dxa"/>
            <w:vAlign w:val="top"/>
          </w:tcPr>
          <w:p>
            <w:pPr>
              <w:spacing w:before="164" w:line="219" w:lineRule="auto"/>
              <w:ind w:left="5042"/>
              <w:rPr>
                <w:rFonts w:ascii="宋体" w:hAnsi="宋体" w:eastAsia="宋体" w:cs="宋体"/>
                <w:sz w:val="22"/>
                <w:szCs w:val="22"/>
              </w:rPr>
            </w:pPr>
            <w:r>
              <w:rPr>
                <w:rFonts w:ascii="宋体" w:hAnsi="宋体" w:eastAsia="宋体" w:cs="宋体"/>
                <w:spacing w:val="-15"/>
                <w:sz w:val="22"/>
                <w:szCs w:val="22"/>
              </w:rPr>
              <w:t>Streckeninhalt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934"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72" w:line="184" w:lineRule="auto"/>
              <w:ind w:left="405"/>
              <w:rPr>
                <w:rFonts w:ascii="宋体" w:hAnsi="宋体" w:eastAsia="宋体" w:cs="宋体"/>
                <w:sz w:val="22"/>
                <w:szCs w:val="22"/>
              </w:rPr>
            </w:pPr>
            <w:r>
              <w:rPr>
                <w:rFonts w:ascii="宋体" w:hAnsi="宋体" w:eastAsia="宋体" w:cs="宋体"/>
                <w:sz w:val="22"/>
                <w:szCs w:val="22"/>
              </w:rPr>
              <w:t>1</w:t>
            </w:r>
          </w:p>
        </w:tc>
        <w:tc>
          <w:tcPr>
            <w:tcW w:w="1379" w:type="dxa"/>
            <w:vAlign w:val="top"/>
          </w:tcPr>
          <w:p>
            <w:pPr>
              <w:spacing w:line="365" w:lineRule="auto"/>
              <w:rPr>
                <w:rFonts w:ascii="Arial"/>
                <w:sz w:val="21"/>
              </w:rPr>
            </w:pPr>
          </w:p>
          <w:p>
            <w:pPr>
              <w:spacing w:before="72" w:line="211" w:lineRule="auto"/>
              <w:ind w:left="121"/>
              <w:rPr>
                <w:rFonts w:ascii="宋体" w:hAnsi="宋体" w:eastAsia="宋体" w:cs="宋体"/>
                <w:sz w:val="22"/>
                <w:szCs w:val="22"/>
              </w:rPr>
            </w:pPr>
            <w:r>
              <w:rPr>
                <w:rFonts w:ascii="宋体" w:hAnsi="宋体" w:eastAsia="宋体" w:cs="宋体"/>
                <w:spacing w:val="4"/>
                <w:sz w:val="22"/>
                <w:szCs w:val="22"/>
              </w:rPr>
              <w:t>Reisen nach Australien und Dali</w:t>
            </w:r>
          </w:p>
          <w:p>
            <w:pPr>
              <w:spacing w:before="1" w:line="202" w:lineRule="auto"/>
              <w:ind w:left="121" w:right="129"/>
              <w:rPr>
                <w:rFonts w:ascii="宋体" w:hAnsi="宋体" w:eastAsia="宋体" w:cs="宋体"/>
                <w:sz w:val="22"/>
                <w:szCs w:val="22"/>
              </w:rPr>
            </w:pPr>
            <w:r>
              <w:rPr>
                <w:rFonts w:ascii="宋体" w:hAnsi="宋体" w:eastAsia="宋体" w:cs="宋体"/>
                <w:spacing w:val="2"/>
                <w:sz w:val="22"/>
                <w:szCs w:val="22"/>
              </w:rPr>
              <w:t>Asien und Neuseeland führen Besuchsmissionen "doppelte Rekrutierung und doppelte Anziehung" durch</w:t>
            </w:r>
          </w:p>
        </w:tc>
        <w:tc>
          <w:tcPr>
            <w:tcW w:w="11236" w:type="dxa"/>
            <w:vAlign w:val="top"/>
          </w:tcPr>
          <w:p>
            <w:pPr>
              <w:spacing w:before="27" w:line="219" w:lineRule="auto"/>
              <w:ind w:left="155"/>
              <w:rPr>
                <w:rFonts w:ascii="宋体" w:hAnsi="宋体" w:eastAsia="宋体" w:cs="宋体"/>
                <w:sz w:val="22"/>
                <w:szCs w:val="22"/>
              </w:rPr>
            </w:pPr>
            <w:r>
              <w:rPr>
                <w:rFonts w:ascii="宋体" w:hAnsi="宋体" w:eastAsia="宋体" w:cs="宋体"/>
                <w:b/>
                <w:bCs/>
                <w:spacing w:val="26"/>
                <w:sz w:val="22"/>
                <w:szCs w:val="22"/>
              </w:rPr>
              <w:t>Zwei Länder, Australien und Neuseeland, mit insgesamt acht Reisetagen.</w:t>
            </w:r>
          </w:p>
          <w:p>
            <w:pPr>
              <w:tabs>
                <w:tab w:val="left" w:pos="11224"/>
              </w:tabs>
              <w:spacing w:before="65" w:line="251" w:lineRule="auto"/>
              <w:ind w:left="152"/>
              <w:jc w:val="both"/>
              <w:rPr>
                <w:rFonts w:ascii="宋体" w:hAnsi="宋体" w:eastAsia="宋体" w:cs="宋体"/>
                <w:sz w:val="21"/>
                <w:szCs w:val="21"/>
              </w:rPr>
            </w:pPr>
            <w:r>
              <w:rPr>
                <w:rFonts w:ascii="宋体" w:hAnsi="宋体" w:eastAsia="宋体" w:cs="宋体"/>
                <w:spacing w:val="9"/>
                <w:sz w:val="21"/>
                <w:szCs w:val="21"/>
              </w:rPr>
              <w:t>Halten Sie das "Sino Australian High-Tech Enterprise Double Recruitment and Double Introduction Project Introduction Matchmaking Meeting" in Canberra ab und laden Sie Vertreter chinesischer Unternehmen, australischer Universitäten und Forschungs- und Entwicklungszentren in Australien ein, um sich über Projekt- und Talenteinführungsfragen auszutauschen und mit Hebei in Verbindung zu treten; Besuchen Sie Adelaides Fourteen Innovation and Technology Park (einschließlich Bereiche wie künstliche Intelligenz, Netzwerksicherheit, intelligente Sensoren, Robotik und Big Data), Australiens erstes Living Lab, um mehr über die neuesten technologischen Ressourcen der Welt zu erfahren und traditionelle und aufstrebende Kräfte in der China Australia Industriekette zu verbinden; Besuch des Auckland Institute of Technology. Mit dem Innovationsforschungsinstitut der Universität Auckland (Hebei) haben wir eine unternehmerische Plattform und Dienstleistungen für ausländische Experten bereitgestellt, die tief an ihrem Unternehmertum in Hebei beteiligt und Mentoren sind, einschließlich Technologieindustrialisierung, kommerzieller Betrieb von Unternehmen, Bildung von inländischen Teams, Markt-, Kapital- und Industrieverbindungen. (Der tatsächliche Reiseplan kann entsprechend den Bedürfnissen der Registrierungseinheit angepasst werden)</w:t>
            </w:r>
            <w:r>
              <w:rPr>
                <w:rFonts w:ascii="宋体" w:hAnsi="宋体" w:eastAsia="宋体" w:cs="宋体"/>
                <w:sz w:val="21"/>
                <w:szCs w:val="21"/>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93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2" w:line="183" w:lineRule="auto"/>
              <w:ind w:left="405"/>
              <w:rPr>
                <w:rFonts w:ascii="宋体" w:hAnsi="宋体" w:eastAsia="宋体" w:cs="宋体"/>
                <w:sz w:val="22"/>
                <w:szCs w:val="22"/>
              </w:rPr>
            </w:pPr>
            <w:r>
              <w:rPr>
                <w:rFonts w:ascii="宋体" w:hAnsi="宋体" w:eastAsia="宋体" w:cs="宋体"/>
                <w:sz w:val="22"/>
                <w:szCs w:val="22"/>
              </w:rPr>
              <w:t>2</w:t>
            </w:r>
          </w:p>
        </w:tc>
        <w:tc>
          <w:tcPr>
            <w:tcW w:w="137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01" w:lineRule="auto"/>
              <w:ind w:left="11" w:right="131" w:firstLine="110"/>
              <w:jc w:val="both"/>
              <w:rPr>
                <w:rFonts w:ascii="宋体" w:hAnsi="宋体" w:eastAsia="宋体" w:cs="宋体"/>
                <w:sz w:val="22"/>
                <w:szCs w:val="22"/>
              </w:rPr>
            </w:pPr>
            <w:r>
              <w:rPr>
                <w:rFonts w:ascii="宋体" w:hAnsi="宋体" w:eastAsia="宋体" w:cs="宋体"/>
                <w:spacing w:val="-2"/>
                <w:sz w:val="22"/>
                <w:szCs w:val="22"/>
              </w:rPr>
              <w:t>Gehen Sie nach Deutschland, der Schweiz und Italien für "doppelte Rekrutierung und doppelte Beförderung</w:t>
            </w:r>
          </w:p>
          <w:p>
            <w:pPr>
              <w:spacing w:line="220" w:lineRule="auto"/>
              <w:ind w:left="121"/>
              <w:rPr>
                <w:rFonts w:ascii="宋体" w:hAnsi="宋体" w:eastAsia="宋体" w:cs="宋体"/>
                <w:sz w:val="22"/>
                <w:szCs w:val="22"/>
              </w:rPr>
            </w:pPr>
            <w:r>
              <w:rPr>
                <w:rFonts w:ascii="宋体" w:hAnsi="宋体" w:eastAsia="宋体" w:cs="宋体"/>
                <w:spacing w:val="3"/>
                <w:sz w:val="22"/>
                <w:szCs w:val="22"/>
              </w:rPr>
              <w:t>Leitung einer Gastdelegation</w:t>
            </w:r>
          </w:p>
        </w:tc>
        <w:tc>
          <w:tcPr>
            <w:tcW w:w="11236" w:type="dxa"/>
            <w:vAlign w:val="top"/>
          </w:tcPr>
          <w:p>
            <w:pPr>
              <w:spacing w:before="170" w:line="219" w:lineRule="auto"/>
              <w:ind w:left="155"/>
              <w:rPr>
                <w:rFonts w:ascii="宋体" w:hAnsi="宋体" w:eastAsia="宋体" w:cs="宋体"/>
                <w:sz w:val="22"/>
                <w:szCs w:val="22"/>
              </w:rPr>
            </w:pPr>
            <w:r>
              <w:rPr>
                <w:rFonts w:ascii="宋体" w:hAnsi="宋体" w:eastAsia="宋体" w:cs="宋体"/>
                <w:b/>
                <w:bCs/>
                <w:spacing w:val="25"/>
                <w:sz w:val="22"/>
                <w:szCs w:val="22"/>
              </w:rPr>
              <w:t>Deutschland, Schweiz und Italien insgesamt zehn Reisetage.</w:t>
            </w:r>
          </w:p>
          <w:p>
            <w:pPr>
              <w:spacing w:before="68" w:line="247" w:lineRule="auto"/>
              <w:ind w:left="152" w:right="47"/>
              <w:jc w:val="both"/>
              <w:rPr>
                <w:rFonts w:ascii="宋体" w:hAnsi="宋体" w:eastAsia="宋体" w:cs="宋体"/>
                <w:sz w:val="22"/>
                <w:szCs w:val="22"/>
              </w:rPr>
            </w:pPr>
            <w:r>
              <w:rPr>
                <w:rFonts w:ascii="宋体" w:hAnsi="宋体" w:eastAsia="宋体" w:cs="宋体"/>
                <w:spacing w:val="1"/>
                <w:sz w:val="22"/>
                <w:szCs w:val="22"/>
              </w:rPr>
              <w:t>Besuch europäischer Sozial- und Berufsbildungsgruppen und Ausbildungsbasen, Koordinierung und Zusammenarbeit mit lokalen Berufsschulen und Ausbildungseinrichtungen bei der angewandten Talentförderung, Talenteinführung und Auslandspraktika; Besuchen Sie die Dresden Chip Academy, um Projekteinführung und Investitionen sowie den Bau eines integrierten Schaltungsparks in Hebei zu besprechen; Besuchen Sie Harman Company in Deutschland, um die Einführung der Dichtungstechnologie zu diskutieren (hauptsächlich für die Heizkesselindustrie und Brennwertheiztechnik, pharmazeutische Unternehmen, Lebensmittelindustrie, Gerätebau, Luftfahrt Raumfahrttechnik, Schiffbau, Haushaltsgeräteindustrie, Stahlwerke, Glaswerke und andere relevante Einheiten); Besuchen Sie den Berufsverband der Bildungsabteilung der chinesischen Botschaft in Deutschland und besuchen Sie BASF, das weltweit größte Chemieunternehmen (ein Fortune 500-Unternehmen), und SAP, den weltweit größten Anbieter von Enterprise-Management-Lösungen (das zweitgrößte Cloud-Unternehmen), um die Herausforderungen und neuen Möglichkeiten multinationaler Konzerne beim Bau von Fabriken in Hebei und Hebei-Unternehmen auszutauschen und zu erkunden, die global agieren. Besuch des Büros der Vereinten Nationen in Genf, einem weltweit führenden Unternehmen in der Energie- und Automatisierungstechnik (Fortune 500-Unternehmen der ABB-Gruppe in der Schweiz; Besuchen Sie die Venice Glass Manufacturing Workshop in Italien sowie die Milan Sanik Company, um das Projekt des Drehens und Metallisierens von Stanzen für Glaswaren zu besprechen. (Der tatsächliche Reiseplan kann entsprechend den Bedürfnissen der Registrierungseinheit angepasst werden)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93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1" w:line="183" w:lineRule="auto"/>
              <w:ind w:left="405"/>
              <w:rPr>
                <w:rFonts w:ascii="宋体" w:hAnsi="宋体" w:eastAsia="宋体" w:cs="宋体"/>
                <w:sz w:val="22"/>
                <w:szCs w:val="22"/>
              </w:rPr>
            </w:pPr>
            <w:r>
              <w:rPr>
                <w:rFonts w:ascii="宋体" w:hAnsi="宋体" w:eastAsia="宋体" w:cs="宋体"/>
                <w:sz w:val="22"/>
                <w:szCs w:val="22"/>
              </w:rPr>
              <w:t>3</w:t>
            </w:r>
          </w:p>
        </w:tc>
        <w:tc>
          <w:tcPr>
            <w:tcW w:w="1379" w:type="dxa"/>
            <w:vAlign w:val="top"/>
          </w:tcPr>
          <w:p>
            <w:pPr>
              <w:spacing w:line="402" w:lineRule="auto"/>
              <w:rPr>
                <w:rFonts w:ascii="Arial"/>
                <w:sz w:val="21"/>
              </w:rPr>
            </w:pPr>
          </w:p>
          <w:p>
            <w:pPr>
              <w:spacing w:before="72" w:line="200" w:lineRule="auto"/>
              <w:ind w:left="121" w:right="108"/>
              <w:jc w:val="both"/>
              <w:rPr>
                <w:rFonts w:ascii="宋体" w:hAnsi="宋体" w:eastAsia="宋体" w:cs="宋体"/>
                <w:sz w:val="22"/>
                <w:szCs w:val="22"/>
              </w:rPr>
            </w:pPr>
            <w:r>
              <w:rPr>
                <w:rFonts w:ascii="宋体" w:hAnsi="宋体" w:eastAsia="宋体" w:cs="宋体"/>
                <w:spacing w:val="-2"/>
                <w:sz w:val="22"/>
                <w:szCs w:val="22"/>
              </w:rPr>
              <w:t>Besuchsdelegation nach Brasilien, Argentinien, Costa Rica für "doppelte Rekrutierung und doppelte Anziehung</w:t>
            </w:r>
          </w:p>
        </w:tc>
        <w:tc>
          <w:tcPr>
            <w:tcW w:w="11236" w:type="dxa"/>
            <w:vAlign w:val="top"/>
          </w:tcPr>
          <w:p>
            <w:pPr>
              <w:spacing w:before="74" w:line="219" w:lineRule="auto"/>
              <w:ind w:left="155"/>
              <w:rPr>
                <w:rFonts w:ascii="宋体" w:hAnsi="宋体" w:eastAsia="宋体" w:cs="宋体"/>
                <w:sz w:val="22"/>
                <w:szCs w:val="22"/>
              </w:rPr>
            </w:pPr>
            <w:r>
              <w:rPr>
                <w:rFonts w:ascii="宋体" w:hAnsi="宋体" w:eastAsia="宋体" w:cs="宋体"/>
                <w:b/>
                <w:bCs/>
                <w:spacing w:val="24"/>
                <w:sz w:val="22"/>
                <w:szCs w:val="22"/>
              </w:rPr>
              <w:t>Brasilien, Argentinien und Costa Rica, insgesamt zehn Reisetage.</w:t>
            </w:r>
          </w:p>
          <w:p>
            <w:pPr>
              <w:spacing w:before="43" w:line="245" w:lineRule="auto"/>
              <w:ind w:left="152" w:right="44"/>
              <w:rPr>
                <w:rFonts w:ascii="宋体" w:hAnsi="宋体" w:eastAsia="宋体" w:cs="宋体"/>
                <w:sz w:val="22"/>
                <w:szCs w:val="22"/>
              </w:rPr>
            </w:pPr>
            <w:r>
              <w:rPr>
                <w:rFonts w:ascii="宋体" w:hAnsi="宋体" w:eastAsia="宋体" w:cs="宋体"/>
                <w:spacing w:val="1"/>
                <w:sz w:val="22"/>
                <w:szCs w:val="22"/>
              </w:rPr>
              <w:t>Teilnahme an der 28ten internationalen medizinischen Ausstellung in S ão Paulo, Brasilien oder der argentinischen Ausstellung für medizinische Versorgung und Rehabilitationsausrüstung; Organisieren Sie die "Hebei Medical and Nursing Institutions Special 'Double Recruitment and Double Introduction' Pressekonferenz", um herausragende qualifizierte Talente und technische Ausrüstung in der Branche vorzustellen; Besuchen Sie die brasilianische Vereinigung der Inkubatoren des Wissenschafts- und Technologieparks und kommunizieren Sie mit lokalen Unternehmen und innovativen Technologieteams; Besuchen Sie den Simulationsraum für medizinische Rehabilitation der Universität Buenos Aires in Argentinien, um die Ausbildung und Einführung von medizinischen und pflegerischen Fachkräften zu koordinieren; Besuchen Sie das Costa Rican Medical Innovation Center, die Coyol Bonded Zone und Hersteller von Medizinprodukten, um mehr über aktuelle medizinische Versorgungsinformationen zu erfahren und medizinische Einrichtungen bei der Einführung neuer medizinischer Versorgungsmodelle zu unterstützen. (Der tatsächliche Reiseplan kann entsprechend den Bedürfnissen der Registrierungseinheit angepasst werden)</w:t>
            </w:r>
          </w:p>
        </w:tc>
      </w:tr>
    </w:tbl>
    <w:p>
      <w:pPr>
        <w:sectPr>
          <w:footerReference r:id="rId5" w:type="default"/>
          <w:pgSz w:w="16840" w:h="11910"/>
          <w:pgMar w:top="1012" w:right="1265" w:bottom="1313" w:left="2014" w:header="0" w:footer="1025" w:gutter="0"/>
          <w:cols w:space="720" w:num="1"/>
        </w:sectPr>
      </w:pPr>
      <w:bookmarkStart w:id="0" w:name="_GoBack"/>
      <w:bookmarkEnd w:id="0"/>
    </w:p>
    <w:p/>
    <w:p>
      <w:pPr>
        <w:spacing w:line="131" w:lineRule="exact"/>
      </w:pPr>
    </w:p>
    <w:tbl>
      <w:tblPr>
        <w:tblStyle w:val="4"/>
        <w:tblW w:w="13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389"/>
        <w:gridCol w:w="1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4" w:type="dxa"/>
            <w:vAlign w:val="top"/>
          </w:tcPr>
          <w:p>
            <w:pPr>
              <w:spacing w:before="162" w:line="221" w:lineRule="auto"/>
              <w:ind w:left="238"/>
              <w:rPr>
                <w:rFonts w:ascii="宋体" w:hAnsi="宋体" w:eastAsia="宋体" w:cs="宋体"/>
                <w:sz w:val="22"/>
                <w:szCs w:val="22"/>
              </w:rPr>
            </w:pPr>
            <w:r>
              <w:rPr>
                <w:rFonts w:ascii="宋体" w:hAnsi="宋体" w:eastAsia="宋体" w:cs="宋体"/>
                <w:b/>
                <w:bCs/>
                <w:spacing w:val="-5"/>
                <w:sz w:val="22"/>
                <w:szCs w:val="22"/>
              </w:rPr>
              <w:t>Seriennummer</w:t>
            </w:r>
          </w:p>
        </w:tc>
        <w:tc>
          <w:tcPr>
            <w:tcW w:w="1389" w:type="dxa"/>
            <w:vAlign w:val="top"/>
          </w:tcPr>
          <w:p>
            <w:pPr>
              <w:spacing w:before="164" w:line="220" w:lineRule="auto"/>
              <w:ind w:left="400"/>
              <w:rPr>
                <w:rFonts w:ascii="宋体" w:hAnsi="宋体" w:eastAsia="宋体" w:cs="宋体"/>
                <w:sz w:val="22"/>
                <w:szCs w:val="22"/>
              </w:rPr>
            </w:pPr>
            <w:r>
              <w:rPr>
                <w:rFonts w:ascii="宋体" w:hAnsi="宋体" w:eastAsia="宋体" w:cs="宋体"/>
                <w:spacing w:val="5"/>
                <w:sz w:val="22"/>
                <w:szCs w:val="22"/>
              </w:rPr>
              <w:t>Programm</w:t>
            </w:r>
          </w:p>
        </w:tc>
        <w:tc>
          <w:tcPr>
            <w:tcW w:w="11236" w:type="dxa"/>
            <w:vAlign w:val="top"/>
          </w:tcPr>
          <w:p>
            <w:pPr>
              <w:spacing w:before="160" w:line="219" w:lineRule="auto"/>
              <w:ind w:left="5065"/>
              <w:rPr>
                <w:rFonts w:ascii="宋体" w:hAnsi="宋体" w:eastAsia="宋体" w:cs="宋体"/>
                <w:sz w:val="22"/>
                <w:szCs w:val="22"/>
              </w:rPr>
            </w:pPr>
            <w:r>
              <w:rPr>
                <w:rFonts w:ascii="宋体" w:hAnsi="宋体" w:eastAsia="宋体" w:cs="宋体"/>
                <w:b/>
                <w:bCs/>
                <w:spacing w:val="-17"/>
                <w:sz w:val="22"/>
                <w:szCs w:val="22"/>
              </w:rPr>
              <w:t>Streckeninhalt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5" w:hRule="atLeast"/>
        </w:trPr>
        <w:tc>
          <w:tcPr>
            <w:tcW w:w="92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2" w:line="183" w:lineRule="auto"/>
              <w:ind w:left="394"/>
              <w:rPr>
                <w:rFonts w:ascii="宋体" w:hAnsi="宋体" w:eastAsia="宋体" w:cs="宋体"/>
                <w:sz w:val="22"/>
                <w:szCs w:val="22"/>
              </w:rPr>
            </w:pPr>
            <w:r>
              <w:rPr>
                <w:rFonts w:ascii="宋体" w:hAnsi="宋体" w:eastAsia="宋体" w:cs="宋体"/>
                <w:sz w:val="22"/>
                <w:szCs w:val="22"/>
              </w:rPr>
              <w:t>4</w:t>
            </w:r>
          </w:p>
        </w:tc>
        <w:tc>
          <w:tcPr>
            <w:tcW w:w="138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1" w:line="207" w:lineRule="auto"/>
              <w:ind w:left="10" w:right="48" w:firstLine="110"/>
              <w:jc w:val="both"/>
              <w:rPr>
                <w:rFonts w:ascii="宋体" w:hAnsi="宋体" w:eastAsia="宋体" w:cs="宋体"/>
                <w:sz w:val="22"/>
                <w:szCs w:val="22"/>
              </w:rPr>
            </w:pPr>
            <w:r>
              <w:rPr>
                <w:rFonts w:ascii="宋体" w:hAnsi="宋体" w:eastAsia="宋体" w:cs="宋体"/>
                <w:spacing w:val="22"/>
                <w:sz w:val="22"/>
                <w:szCs w:val="22"/>
              </w:rPr>
              <w:t>Gehen Sie nach Spanien, Frankreich und Südafrika für "Doppelrekrutierung</w:t>
            </w:r>
          </w:p>
          <w:p>
            <w:pPr>
              <w:spacing w:line="220" w:lineRule="auto"/>
              <w:ind w:left="120"/>
              <w:rPr>
                <w:rFonts w:ascii="宋体" w:hAnsi="宋体" w:eastAsia="宋体" w:cs="宋体"/>
                <w:sz w:val="22"/>
                <w:szCs w:val="22"/>
              </w:rPr>
            </w:pPr>
            <w:r>
              <w:rPr>
                <w:rFonts w:ascii="宋体" w:hAnsi="宋体" w:eastAsia="宋体" w:cs="宋体"/>
                <w:spacing w:val="3"/>
                <w:sz w:val="22"/>
                <w:szCs w:val="22"/>
              </w:rPr>
              <w:t>Leitung einer Gastdelegation</w:t>
            </w:r>
          </w:p>
        </w:tc>
        <w:tc>
          <w:tcPr>
            <w:tcW w:w="11236" w:type="dxa"/>
            <w:vAlign w:val="top"/>
          </w:tcPr>
          <w:p>
            <w:pPr>
              <w:spacing w:before="240" w:line="219" w:lineRule="auto"/>
              <w:ind w:left="141"/>
              <w:rPr>
                <w:rFonts w:ascii="宋体" w:hAnsi="宋体" w:eastAsia="宋体" w:cs="宋体"/>
                <w:sz w:val="22"/>
                <w:szCs w:val="22"/>
              </w:rPr>
            </w:pPr>
            <w:r>
              <w:rPr>
                <w:rFonts w:ascii="宋体" w:hAnsi="宋体" w:eastAsia="宋体" w:cs="宋体"/>
                <w:spacing w:val="27"/>
                <w:sz w:val="22"/>
                <w:szCs w:val="22"/>
              </w:rPr>
              <w:t>Spanien, Frankreich und Südafrika insgesamt zehn Reisetage.</w:t>
            </w:r>
          </w:p>
          <w:p>
            <w:pPr>
              <w:spacing w:before="59" w:line="258" w:lineRule="auto"/>
              <w:ind w:left="141"/>
              <w:rPr>
                <w:rFonts w:ascii="宋体" w:hAnsi="宋体" w:eastAsia="宋体" w:cs="宋体"/>
                <w:sz w:val="21"/>
                <w:szCs w:val="21"/>
              </w:rPr>
            </w:pPr>
            <w:r>
              <w:rPr>
                <w:rFonts w:ascii="宋体" w:hAnsi="宋体" w:eastAsia="宋体" w:cs="宋体"/>
                <w:spacing w:val="8"/>
                <w:sz w:val="21"/>
                <w:szCs w:val="21"/>
              </w:rPr>
              <w:t>Besuchen Sie den Wissenschafts- und Technologieinnovationspark von Madrid, besuchen und besuchen Sie den Wissenschafts- und Technologieinnovationspark von Madrid und Vertreter von Unternehmen, die in den Park eintreten, verstehen Sie die Bausituation des Wissenschafts- und Technologieinnovationsparks sowie die politischen Dienstleistungen für technologiebasierte kleine und mittlere Unternehmen, Inkubatoren usw., die in den Park eintreten, und unterbreiten Sie Vorschläge und Vorschläge für den Bau von Offshore-Innovations- und Unternehmerbasis in unserer Provinz, die Grundbaupläne und Betriebsmanagementpläne bereitstellt; SEDECAL Medical Equipment Co., Ltd. in Spanien. Als größter Hersteller medizinischer Geräte in Europa verfügt das Unternehmen über reiche Erfahrung in der Herstellung medizinischer Forschungsinstrumente im Bereich mobiler Röntgengeräte und anderer bildgebender Diagnostik. Durch Gespräche mit der Einheit werden wir Lösungen für die Probleme der Einführung der Herstellung medizinischer Geräte erforschen, Unternehmen und Institutionen im Bereich der Herstellung medizinischer Geräte in unserer Provinz anleiten, Qualitätskontrollpläne zu erstellen und Qualitätsmanagementsystem-Zertifizierung und Produktzertifizierung zu erhalten; Besuchen Sie die Schneider Group in Frankreich, kommunizieren Sie mit der Gruppe und besuchen Sie das Paris Innovation Center, um die Einführung digitaler Integrationsprojekte im Bereich des Energiemanagements von Unternehmen weiter zu fördern; Veranstaltung der "Sino French Science and Technology Talent Exchange Conference", um Ideen über die Einführung neuer Energieprojekte in Hebei, die Kultivierung innovativer Talente in Wissenschaft und Technologie und die Einführung von "ausländischen Ingenieuren" zu diskutieren und auszutauschen; Teilnahme an der "China South Africa Life and Health Industry Fair" und organisierte den "Hebei Big Health Field Double Recruitment and Double Introduction Sub Venue", der sich auf Themen wie Medizinprodukte, Biopharmazeutika, Gesundheit und Epidemieprävention, traditionelle chinesische Medizin und digitale Gesundheit konzentriert, um Entwicklungstrends und Investitionsmöglichkeiten in der medizinischen Industrie zu teilen und auszutauschen; Besuchen und inspizieren Sie den China South Africa Science and Technology Park, um mehr über die grenzüberschreitende Technologieinkubationszusammenarbeit zwischen China und Südafrika sowie neue grenzüberschreitende Dienstleistungssysteme wie gemeinsame Forschung und Entwicklung, Leistungstransformation, Marktförderung, Investitionen und Fusionen und Übernahmen zu erfahren. (Der tatsächliche Reiseplan kann entsprechend den Bedürfnissen der Registrierungseinheit angepasst werden)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924"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1" w:line="182" w:lineRule="auto"/>
              <w:ind w:left="394"/>
              <w:rPr>
                <w:rFonts w:ascii="宋体" w:hAnsi="宋体" w:eastAsia="宋体" w:cs="宋体"/>
                <w:sz w:val="22"/>
                <w:szCs w:val="22"/>
              </w:rPr>
            </w:pPr>
            <w:r>
              <w:rPr>
                <w:rFonts w:ascii="宋体" w:hAnsi="宋体" w:eastAsia="宋体" w:cs="宋体"/>
                <w:sz w:val="22"/>
                <w:szCs w:val="22"/>
              </w:rPr>
              <w:t>5</w:t>
            </w:r>
          </w:p>
        </w:tc>
        <w:tc>
          <w:tcPr>
            <w:tcW w:w="138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2" w:line="211" w:lineRule="auto"/>
              <w:ind w:left="120" w:right="138"/>
              <w:jc w:val="both"/>
              <w:rPr>
                <w:rFonts w:ascii="宋体" w:hAnsi="宋体" w:eastAsia="宋体" w:cs="宋体"/>
                <w:sz w:val="22"/>
                <w:szCs w:val="22"/>
              </w:rPr>
            </w:pPr>
            <w:r>
              <w:rPr>
                <w:rFonts w:ascii="宋体" w:hAnsi="宋体" w:eastAsia="宋体" w:cs="宋体"/>
                <w:spacing w:val="2"/>
                <w:sz w:val="22"/>
                <w:szCs w:val="22"/>
              </w:rPr>
              <w:t>Besuchsgruppe in Japan und Südkorea für "Double Recruitment und Double Introduction</w:t>
            </w:r>
          </w:p>
        </w:tc>
        <w:tc>
          <w:tcPr>
            <w:tcW w:w="11236" w:type="dxa"/>
            <w:vAlign w:val="top"/>
          </w:tcPr>
          <w:p>
            <w:pPr>
              <w:spacing w:before="130" w:line="219" w:lineRule="auto"/>
              <w:ind w:left="145"/>
              <w:rPr>
                <w:rFonts w:ascii="宋体" w:hAnsi="宋体" w:eastAsia="宋体" w:cs="宋体"/>
                <w:sz w:val="22"/>
                <w:szCs w:val="22"/>
              </w:rPr>
            </w:pPr>
            <w:r>
              <w:rPr>
                <w:rFonts w:ascii="宋体" w:hAnsi="宋体" w:eastAsia="宋体" w:cs="宋体"/>
                <w:b/>
                <w:bCs/>
                <w:spacing w:val="27"/>
                <w:sz w:val="22"/>
                <w:szCs w:val="22"/>
              </w:rPr>
              <w:t>Japan und Südkorea, insgesamt acht Reisetage.</w:t>
            </w:r>
          </w:p>
          <w:p>
            <w:pPr>
              <w:spacing w:before="40" w:line="258" w:lineRule="auto"/>
              <w:ind w:left="141"/>
              <w:jc w:val="both"/>
              <w:rPr>
                <w:rFonts w:ascii="宋体" w:hAnsi="宋体" w:eastAsia="宋体" w:cs="宋体"/>
                <w:sz w:val="21"/>
                <w:szCs w:val="21"/>
              </w:rPr>
            </w:pPr>
            <w:r>
              <w:rPr>
                <w:rFonts w:ascii="宋体" w:hAnsi="宋体" w:eastAsia="宋体" w:cs="宋体"/>
                <w:spacing w:val="12"/>
                <w:sz w:val="21"/>
                <w:szCs w:val="21"/>
              </w:rPr>
              <w:t>Besuchen Sie die Japan China Investment Promotion Agency, die Asian Community Cooperation Agency, Sumitomo Mitsui Banking Corporation usw., um die Investitionstrends japanischer Unternehmen in China und die neuesten Nachrichten des Japan South Korea Industrial Park auszutauschen; Besuchen Sie wichtige Umweltschutztechnologieunternehmen in Japan, organisieren Sie ein "Chinesisches japanisches Umweltschutzprojekt-Einführungs-Matchmaking-Treffen" und fördern Sie relevante neue Projekte, die in Hebei investiert und gebaut werden können, durch Dialog mit der Entscheidungsebene des Unternehmens; Besuchen Sie Tokyo International Welfare Cultural Industry Co., Ltd., um die Einführung verschiedener und mehrstufiger Gesundheitsdienstleistungsprojekte in Japan sowie die Einführung von Hilfsprodukten im Gesundheitswesen zu diskutieren und die Untersuchung charakteristischer Gesundheitsprojekte in Nagoya, Fuji, Nagano und anderen Orten zu leiten; Wir haben mit dem koreanischen Wafer-Poliersystem-Entwickler KC Tech, dem Ätzmaterial-Unternehmen DNF, dem Halbleiterprüfgerätehersteller YIK Corporation und anderen Unternehmen zusammengearbeitet, um in den Bereichen elektronische Komponenten, Präzisionsventile, Halbleiterausrüstung und hochwertige elektronische Materialien zusammenzuarbeiten. Wir haben auch Projekteinführungsverhandlungen geführt und aktiv Investitionsförderungsarbeiten durchgeführt. (Der tatsächliche Reiseplan kann entsprechend den Bedürfnissen der Registrierungseinheit angepasst werden)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24" w:type="dxa"/>
            <w:vAlign w:val="top"/>
          </w:tcPr>
          <w:p>
            <w:pPr>
              <w:spacing w:line="322" w:lineRule="auto"/>
              <w:rPr>
                <w:rFonts w:ascii="Arial"/>
                <w:sz w:val="21"/>
              </w:rPr>
            </w:pPr>
          </w:p>
          <w:p>
            <w:pPr>
              <w:spacing w:before="71" w:line="183" w:lineRule="auto"/>
              <w:ind w:left="394"/>
              <w:rPr>
                <w:rFonts w:ascii="宋体" w:hAnsi="宋体" w:eastAsia="宋体" w:cs="宋体"/>
                <w:sz w:val="22"/>
                <w:szCs w:val="22"/>
              </w:rPr>
            </w:pPr>
            <w:r>
              <w:rPr>
                <w:rFonts w:ascii="宋体" w:hAnsi="宋体" w:eastAsia="宋体" w:cs="宋体"/>
                <w:sz w:val="22"/>
                <w:szCs w:val="22"/>
              </w:rPr>
              <w:t>6</w:t>
            </w:r>
          </w:p>
        </w:tc>
        <w:tc>
          <w:tcPr>
            <w:tcW w:w="1389" w:type="dxa"/>
            <w:vAlign w:val="top"/>
          </w:tcPr>
          <w:p>
            <w:pPr>
              <w:spacing w:line="266" w:lineRule="auto"/>
              <w:rPr>
                <w:rFonts w:ascii="Arial"/>
                <w:sz w:val="21"/>
              </w:rPr>
            </w:pPr>
          </w:p>
          <w:p>
            <w:pPr>
              <w:spacing w:before="72" w:line="220" w:lineRule="auto"/>
              <w:ind w:left="120"/>
              <w:rPr>
                <w:rFonts w:ascii="宋体" w:hAnsi="宋体" w:eastAsia="宋体" w:cs="宋体"/>
                <w:sz w:val="22"/>
                <w:szCs w:val="22"/>
              </w:rPr>
            </w:pPr>
            <w:r>
              <w:rPr>
                <w:rFonts w:ascii="宋体" w:hAnsi="宋体" w:eastAsia="宋体" w:cs="宋体"/>
                <w:spacing w:val="-2"/>
                <w:sz w:val="22"/>
                <w:szCs w:val="22"/>
              </w:rPr>
              <w:t>Sonstige Anforderungen</w:t>
            </w:r>
          </w:p>
        </w:tc>
        <w:tc>
          <w:tcPr>
            <w:tcW w:w="11236" w:type="dxa"/>
            <w:vAlign w:val="top"/>
          </w:tcPr>
          <w:p>
            <w:pPr>
              <w:spacing w:line="261" w:lineRule="auto"/>
              <w:rPr>
                <w:rFonts w:ascii="Arial"/>
                <w:sz w:val="21"/>
              </w:rPr>
            </w:pPr>
          </w:p>
          <w:p>
            <w:pPr>
              <w:spacing w:before="71" w:line="219" w:lineRule="auto"/>
              <w:ind w:left="145"/>
              <w:rPr>
                <w:rFonts w:ascii="宋体" w:hAnsi="宋体" w:eastAsia="宋体" w:cs="宋体"/>
                <w:sz w:val="22"/>
                <w:szCs w:val="22"/>
              </w:rPr>
            </w:pPr>
            <w:r>
              <w:rPr>
                <w:rFonts w:ascii="宋体" w:hAnsi="宋体" w:eastAsia="宋体" w:cs="宋体"/>
                <w:b/>
                <w:bCs/>
                <w:spacing w:val="17"/>
                <w:sz w:val="22"/>
                <w:szCs w:val="22"/>
              </w:rPr>
              <w:t>(Kundenspezifische Dienstleistungen können für die Gruppe bereitgestellt werden, beschreiben Sie bitte andere Besuchsbedürfnisse)</w:t>
            </w:r>
          </w:p>
        </w:tc>
      </w:tr>
    </w:tbl>
    <w:p>
      <w:pPr>
        <w:spacing w:line="285" w:lineRule="auto"/>
        <w:rPr>
          <w:rFonts w:ascii="Arial"/>
          <w:sz w:val="21"/>
        </w:rPr>
      </w:pPr>
    </w:p>
    <w:p>
      <w:pPr>
        <w:spacing w:line="285" w:lineRule="auto"/>
        <w:rPr>
          <w:rFonts w:ascii="Arial"/>
          <w:sz w:val="21"/>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8"/>
      <w:jc w:val="right"/>
      <w:rPr>
        <w:rFonts w:ascii="宋体" w:hAnsi="宋体" w:eastAsia="宋体" w:cs="宋体"/>
        <w:sz w:val="29"/>
        <w:szCs w:val="29"/>
      </w:rPr>
    </w:pPr>
    <w:r>
      <w:rPr>
        <w:rFonts w:ascii="宋体" w:hAnsi="宋体" w:eastAsia="宋体" w:cs="宋体"/>
        <w:spacing w:val="-3"/>
        <w:sz w:val="29"/>
        <w:szCs w:val="29"/>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24F94ED4"/>
    <w:rsid w:val="24F9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2023-03-28T02:39:00Z</dcterms:created>
  <dc:creator>会开小飞机~滴贝塔</dc:creator>
  <cp:lastModifiedBy>会开小飞机~滴贝塔</cp:lastModifiedBy>
  <dcterms:modified xsi:type="dcterms:W3CDTF">2023-03-28T02:41:12Z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4CE04D46A7434BB69988B2D188D9EC3C</vt:lpwstr>
  </property>
</Properties>
</file>